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209" w:rsidRDefault="00E254A8">
      <w:pPr>
        <w:jc w:val="center"/>
        <w:rPr>
          <w:rFonts w:ascii="Times New Roman" w:hAnsi="Times New Roman"/>
          <w:b/>
          <w:color w:val="7030A0"/>
          <w:sz w:val="28"/>
        </w:rPr>
      </w:pPr>
      <w:r>
        <w:rPr>
          <w:rFonts w:ascii="Times New Roman" w:hAnsi="Times New Roman"/>
          <w:b/>
          <w:color w:val="7030A0"/>
          <w:sz w:val="28"/>
        </w:rPr>
        <w:t xml:space="preserve">Leitfaden für die Einreichung von Anträgen zur Förderrichtlinie </w:t>
      </w:r>
      <w:r>
        <w:rPr>
          <w:rFonts w:ascii="Times New Roman" w:hAnsi="Times New Roman"/>
          <w:b/>
          <w:color w:val="7030A0"/>
          <w:sz w:val="28"/>
        </w:rPr>
        <w:br/>
        <w:t>„Beschleunigung der Transformation zu Open Access“</w:t>
      </w:r>
    </w:p>
    <w:p w:rsidR="00A43209" w:rsidRDefault="00A43209">
      <w:pPr>
        <w:jc w:val="both"/>
        <w:rPr>
          <w:rFonts w:ascii="Times New Roman" w:hAnsi="Times New Roman"/>
          <w:sz w:val="22"/>
        </w:rPr>
      </w:pPr>
    </w:p>
    <w:p w:rsidR="00A43209" w:rsidRDefault="00E254A8">
      <w:pPr>
        <w:jc w:val="both"/>
        <w:rPr>
          <w:rFonts w:ascii="Times New Roman" w:hAnsi="Times New Roman"/>
          <w:sz w:val="22"/>
        </w:rPr>
      </w:pPr>
      <w:r>
        <w:rPr>
          <w:rFonts w:ascii="Times New Roman" w:hAnsi="Times New Roman"/>
          <w:sz w:val="22"/>
        </w:rPr>
        <w:t>Im Folgenden finden Sie wichtige Hinweise als Erg</w:t>
      </w:r>
      <w:bookmarkStart w:id="0" w:name="_GoBack"/>
      <w:bookmarkEnd w:id="0"/>
      <w:r>
        <w:rPr>
          <w:rFonts w:ascii="Times New Roman" w:hAnsi="Times New Roman"/>
          <w:sz w:val="22"/>
        </w:rPr>
        <w:t xml:space="preserve">änzung zur Förderrichtlinie „Beschleunigung der Transformation zu Open Access“ vom </w:t>
      </w:r>
      <w:r>
        <w:rPr>
          <w:rFonts w:ascii="Times New Roman" w:hAnsi="Times New Roman"/>
          <w:sz w:val="22"/>
          <w:highlight w:val="yellow"/>
        </w:rPr>
        <w:t>18</w:t>
      </w:r>
      <w:r>
        <w:rPr>
          <w:rFonts w:ascii="Times New Roman" w:hAnsi="Times New Roman"/>
          <w:sz w:val="22"/>
          <w:highlight w:val="yellow"/>
        </w:rPr>
        <w:t>.</w:t>
      </w:r>
      <w:r>
        <w:rPr>
          <w:rFonts w:ascii="Times New Roman" w:hAnsi="Times New Roman"/>
          <w:sz w:val="22"/>
          <w:highlight w:val="yellow"/>
        </w:rPr>
        <w:t>05</w:t>
      </w:r>
      <w:r>
        <w:rPr>
          <w:rFonts w:ascii="Times New Roman" w:hAnsi="Times New Roman"/>
          <w:sz w:val="22"/>
          <w:highlight w:val="yellow"/>
        </w:rPr>
        <w:t>.2020</w:t>
      </w:r>
      <w:r>
        <w:rPr>
          <w:rFonts w:ascii="Times New Roman" w:hAnsi="Times New Roman"/>
          <w:sz w:val="22"/>
        </w:rPr>
        <w:t>, die Ihnen als Hilfe bei der Antragstellung dienen sollen.</w:t>
      </w:r>
    </w:p>
    <w:p w:rsidR="00A43209" w:rsidRDefault="00A43209">
      <w:pPr>
        <w:jc w:val="both"/>
        <w:rPr>
          <w:rFonts w:ascii="Times New Roman" w:hAnsi="Times New Roman"/>
          <w:sz w:val="22"/>
        </w:rPr>
      </w:pPr>
    </w:p>
    <w:p w:rsidR="00A43209" w:rsidRDefault="00E254A8">
      <w:pPr>
        <w:jc w:val="both"/>
        <w:rPr>
          <w:rFonts w:ascii="Times New Roman" w:hAnsi="Times New Roman"/>
          <w:sz w:val="22"/>
        </w:rPr>
      </w:pPr>
      <w:r>
        <w:rPr>
          <w:rFonts w:ascii="Times New Roman" w:hAnsi="Times New Roman"/>
          <w:sz w:val="22"/>
        </w:rPr>
        <w:t>Wir bitten Sie nachdrücklich darum, neben der För</w:t>
      </w:r>
      <w:r>
        <w:rPr>
          <w:rFonts w:ascii="Times New Roman" w:hAnsi="Times New Roman"/>
          <w:sz w:val="22"/>
        </w:rPr>
        <w:t>derrichtlinie auch den vorliegenden Leitfaden für die Antragstellung zu nutzen. Dieser unterstützt Sie einerseits bei der Sicherstellung einer hohen fachlichen und formellen Qualität Ihres Antrags. Gleichzeitig wird die Vergleichbarkeit der eingereichten A</w:t>
      </w:r>
      <w:r>
        <w:rPr>
          <w:rFonts w:ascii="Times New Roman" w:hAnsi="Times New Roman"/>
          <w:sz w:val="22"/>
        </w:rPr>
        <w:t xml:space="preserve">nträge verbessert und eine effizientere und schnellere Bewertung des Antrags ermöglicht. </w:t>
      </w:r>
      <w:r>
        <w:rPr>
          <w:rFonts w:ascii="Times New Roman" w:hAnsi="Times New Roman"/>
          <w:b/>
          <w:sz w:val="22"/>
        </w:rPr>
        <w:t>Insbesondere wird dringend empfohlen, die Templates für die Gliederung des Antrags sowie für die</w:t>
      </w:r>
      <w:r>
        <w:rPr>
          <w:rFonts w:ascii="Times New Roman" w:hAnsi="Times New Roman"/>
          <w:b/>
          <w:sz w:val="22"/>
        </w:rPr>
        <w:t xml:space="preserve"> Arbeits- und Zeitplanung zu nutzen</w:t>
      </w:r>
      <w:r>
        <w:rPr>
          <w:rFonts w:ascii="Times New Roman" w:hAnsi="Times New Roman"/>
          <w:sz w:val="22"/>
        </w:rPr>
        <w:t>.*)</w:t>
      </w:r>
    </w:p>
    <w:p w:rsidR="00A43209" w:rsidRDefault="00A43209">
      <w:pPr>
        <w:jc w:val="both"/>
        <w:rPr>
          <w:rFonts w:ascii="Times New Roman" w:hAnsi="Times New Roman"/>
          <w:sz w:val="22"/>
        </w:rPr>
      </w:pPr>
    </w:p>
    <w:p w:rsidR="00A43209" w:rsidRDefault="00A43209">
      <w:pPr>
        <w:jc w:val="both"/>
        <w:rPr>
          <w:rFonts w:ascii="Times New Roman" w:hAnsi="Times New Roman"/>
          <w:sz w:val="22"/>
        </w:rPr>
      </w:pPr>
    </w:p>
    <w:p w:rsidR="00A43209" w:rsidRDefault="00A43209">
      <w:pPr>
        <w:jc w:val="both"/>
        <w:rPr>
          <w:rFonts w:ascii="Times New Roman" w:hAnsi="Times New Roman"/>
          <w:sz w:val="22"/>
          <w:u w:val="single"/>
        </w:rPr>
        <w:sectPr w:rsidR="00A4320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p w:rsidR="00A43209" w:rsidRDefault="00A43209">
      <w:pPr>
        <w:jc w:val="both"/>
        <w:rPr>
          <w:rFonts w:ascii="Times New Roman" w:hAnsi="Times New Roman"/>
          <w:sz w:val="22"/>
          <w:u w:val="single"/>
        </w:rPr>
      </w:pPr>
    </w:p>
    <w:p w:rsidR="00A43209" w:rsidRDefault="00E254A8">
      <w:pPr>
        <w:jc w:val="both"/>
        <w:rPr>
          <w:rFonts w:ascii="Times New Roman" w:hAnsi="Times New Roman"/>
          <w:b/>
          <w:color w:val="7030A0"/>
          <w:sz w:val="24"/>
          <w:szCs w:val="24"/>
        </w:rPr>
      </w:pPr>
      <w:r>
        <w:rPr>
          <w:rFonts w:ascii="Times New Roman" w:hAnsi="Times New Roman"/>
          <w:b/>
          <w:color w:val="7030A0"/>
          <w:sz w:val="24"/>
          <w:szCs w:val="24"/>
        </w:rPr>
        <w:t xml:space="preserve">Wer ist antragsberechtigt und welche spezifischen Dokumente sind durch unterschiedliche Antragstellende einzureichen? </w:t>
      </w:r>
    </w:p>
    <w:p w:rsidR="00A43209" w:rsidRDefault="00A43209">
      <w:pPr>
        <w:jc w:val="both"/>
        <w:rPr>
          <w:rFonts w:ascii="Times New Roman" w:hAnsi="Times New Roman"/>
          <w:sz w:val="22"/>
          <w:u w:val="single"/>
        </w:rPr>
      </w:pPr>
    </w:p>
    <w:p w:rsidR="00A43209" w:rsidRDefault="00E254A8">
      <w:pPr>
        <w:pStyle w:val="Listenabsatz"/>
        <w:numPr>
          <w:ilvl w:val="0"/>
          <w:numId w:val="44"/>
        </w:numPr>
        <w:ind w:left="426" w:hanging="426"/>
        <w:jc w:val="both"/>
        <w:rPr>
          <w:rFonts w:ascii="Times New Roman" w:hAnsi="Times New Roman"/>
          <w:sz w:val="22"/>
        </w:rPr>
      </w:pPr>
      <w:r>
        <w:rPr>
          <w:rFonts w:ascii="Times New Roman" w:hAnsi="Times New Roman"/>
          <w:sz w:val="22"/>
        </w:rPr>
        <w:t xml:space="preserve">Antragsberechtigt sind </w:t>
      </w:r>
      <w:r>
        <w:rPr>
          <w:rFonts w:ascii="Times New Roman" w:hAnsi="Times New Roman"/>
          <w:b/>
          <w:sz w:val="22"/>
        </w:rPr>
        <w:t xml:space="preserve">staatliche und </w:t>
      </w:r>
      <w:r>
        <w:rPr>
          <w:rFonts w:ascii="Times New Roman" w:hAnsi="Times New Roman"/>
          <w:b/>
          <w:sz w:val="22"/>
        </w:rPr>
        <w:t>private, staatlich anerkannte Hochschulen sowie außeruniversitäre Forschungseinrichtungen</w:t>
      </w:r>
      <w:r>
        <w:rPr>
          <w:rFonts w:ascii="Times New Roman" w:hAnsi="Times New Roman"/>
          <w:sz w:val="22"/>
        </w:rPr>
        <w:t xml:space="preserve">. Dem Antrag ist ein Nachweis für Einrichtungen der Forschung und Wissensverbreitung beizufügen. </w:t>
      </w:r>
    </w:p>
    <w:p w:rsidR="00A43209" w:rsidRDefault="00A43209">
      <w:pPr>
        <w:pStyle w:val="Listenabsatz"/>
        <w:ind w:left="426"/>
        <w:jc w:val="both"/>
        <w:rPr>
          <w:rFonts w:ascii="Times New Roman" w:hAnsi="Times New Roman"/>
          <w:sz w:val="22"/>
        </w:rPr>
      </w:pPr>
    </w:p>
    <w:p w:rsidR="00A43209" w:rsidRDefault="00E254A8">
      <w:pPr>
        <w:pStyle w:val="Listenabsatz"/>
        <w:ind w:left="426"/>
        <w:jc w:val="both"/>
        <w:rPr>
          <w:rFonts w:ascii="Times New Roman" w:hAnsi="Times New Roman"/>
          <w:sz w:val="22"/>
        </w:rPr>
      </w:pPr>
      <w:r>
        <w:rPr>
          <w:rFonts w:ascii="Times New Roman" w:hAnsi="Times New Roman"/>
          <w:sz w:val="22"/>
        </w:rPr>
        <w:t>Besondere Bedingungen gelten für Forschungseinrichtungen, die gemein</w:t>
      </w:r>
      <w:r>
        <w:rPr>
          <w:rFonts w:ascii="Times New Roman" w:hAnsi="Times New Roman"/>
          <w:sz w:val="22"/>
        </w:rPr>
        <w:t xml:space="preserve">sam von Bund und/oder Ländern grundfinanziert werden. Eine Übersicht dieser Einrichtungen finden Sie unter: </w:t>
      </w:r>
      <w:hyperlink r:id="rId14" w:history="1">
        <w:r>
          <w:rPr>
            <w:rStyle w:val="Hyperlink"/>
            <w:rFonts w:ascii="Times New Roman" w:hAnsi="Times New Roman"/>
            <w:sz w:val="22"/>
          </w:rPr>
          <w:t>https://www.bundesberic</w:t>
        </w:r>
        <w:r>
          <w:rPr>
            <w:rStyle w:val="Hyperlink"/>
            <w:rFonts w:ascii="Times New Roman" w:hAnsi="Times New Roman"/>
            <w:sz w:val="22"/>
          </w:rPr>
          <w:t>ht-forschung-innovation.de/de/Grundfinanzierung-der-Forschungseinrichtungen-1789.html</w:t>
        </w:r>
      </w:hyperlink>
      <w:r>
        <w:rPr>
          <w:rFonts w:ascii="Times New Roman" w:hAnsi="Times New Roman"/>
          <w:sz w:val="22"/>
        </w:rPr>
        <w:t xml:space="preserve">. </w:t>
      </w:r>
      <w:r>
        <w:rPr>
          <w:rFonts w:ascii="Times New Roman" w:hAnsi="Times New Roman"/>
          <w:sz w:val="22"/>
        </w:rPr>
        <w:br/>
      </w:r>
    </w:p>
    <w:p w:rsidR="00A43209" w:rsidRDefault="00E254A8">
      <w:pPr>
        <w:pStyle w:val="Listenabsatz"/>
        <w:ind w:left="426"/>
        <w:jc w:val="both"/>
        <w:rPr>
          <w:rFonts w:ascii="Times New Roman" w:hAnsi="Times New Roman"/>
          <w:sz w:val="22"/>
        </w:rPr>
      </w:pPr>
      <w:r>
        <w:rPr>
          <w:rFonts w:ascii="Times New Roman" w:hAnsi="Times New Roman"/>
          <w:sz w:val="22"/>
        </w:rPr>
        <w:t>Die Bedingungen zur staatlichen Beihilfe werden in der Mitteilung der Kommission zum Unionsrahmen für staatliche Beihilfen zur Förderung von Forschung, Entwicklung und</w:t>
      </w:r>
      <w:r>
        <w:rPr>
          <w:rFonts w:ascii="Times New Roman" w:hAnsi="Times New Roman"/>
          <w:sz w:val="22"/>
        </w:rPr>
        <w:t xml:space="preserve"> Innovation vom 27. Juni 2014 (ABl. C 198 vom 27.6.2014 S.1 ff.) insbesondere im Abschnitt 2 geregelt. Weiterführende Informationen hierzu finden Sie unter nachfolgendem Link:</w:t>
      </w:r>
      <w:r>
        <w:rPr>
          <w:rFonts w:ascii="Times New Roman" w:hAnsi="Times New Roman"/>
          <w:sz w:val="22"/>
        </w:rPr>
        <w:br/>
      </w:r>
      <w:hyperlink r:id="rId15" w:history="1">
        <w:r>
          <w:rPr>
            <w:rStyle w:val="Hyperlink"/>
            <w:rFonts w:ascii="Times New Roman" w:hAnsi="Times New Roman"/>
            <w:sz w:val="22"/>
          </w:rPr>
          <w:t>https://eur-lex.europa.eu/legal-content/DE/LSU/?uri=CELEX:52014XC0627(01)</w:t>
        </w:r>
      </w:hyperlink>
      <w:r>
        <w:rPr>
          <w:rFonts w:ascii="Times New Roman" w:hAnsi="Times New Roman"/>
          <w:sz w:val="22"/>
        </w:rPr>
        <w:t>.</w:t>
      </w:r>
    </w:p>
    <w:p w:rsidR="00A43209" w:rsidRDefault="00A43209">
      <w:pPr>
        <w:pStyle w:val="Listenabsatz"/>
        <w:ind w:left="426"/>
        <w:jc w:val="both"/>
        <w:rPr>
          <w:rFonts w:ascii="Times New Roman" w:hAnsi="Times New Roman"/>
          <w:sz w:val="22"/>
        </w:rPr>
      </w:pPr>
    </w:p>
    <w:p w:rsidR="00A43209" w:rsidRDefault="00E254A8">
      <w:pPr>
        <w:pStyle w:val="Listenabsatz"/>
        <w:numPr>
          <w:ilvl w:val="0"/>
          <w:numId w:val="44"/>
        </w:numPr>
        <w:ind w:left="426" w:hanging="426"/>
        <w:jc w:val="both"/>
        <w:rPr>
          <w:rFonts w:ascii="Times New Roman" w:hAnsi="Times New Roman"/>
          <w:sz w:val="22"/>
        </w:rPr>
      </w:pPr>
      <w:r>
        <w:rPr>
          <w:rFonts w:ascii="Times New Roman" w:hAnsi="Times New Roman"/>
          <w:sz w:val="22"/>
        </w:rPr>
        <w:lastRenderedPageBreak/>
        <w:t xml:space="preserve">Antragsberechtigt sind </w:t>
      </w:r>
      <w:r>
        <w:rPr>
          <w:rFonts w:ascii="Times New Roman" w:hAnsi="Times New Roman"/>
          <w:b/>
          <w:sz w:val="22"/>
        </w:rPr>
        <w:t>außerdem kleine und mittlere Unternehmen der gewerblichen Wirtschaft –– sowie nicht gewerbliche Institutionen (z.B. Stiftungen und gemeinnützige Ve</w:t>
      </w:r>
      <w:r>
        <w:rPr>
          <w:rFonts w:ascii="Times New Roman" w:hAnsi="Times New Roman"/>
          <w:b/>
          <w:sz w:val="22"/>
        </w:rPr>
        <w:t>reine)</w:t>
      </w:r>
      <w:r>
        <w:rPr>
          <w:rFonts w:ascii="Times New Roman" w:hAnsi="Times New Roman"/>
          <w:sz w:val="22"/>
        </w:rPr>
        <w:t xml:space="preserve">. Dem Antrag ist eine Erklärung zur Einstufung gemäß Anhang I der AGVO beizufügen. Als KMU gelten Unternehmen, die die Voraussetzungen der KMU-Definition der EU erfüllen, die unter nachfolgendem Link detailliert dargestellt werden: </w:t>
      </w:r>
      <w:r>
        <w:rPr>
          <w:rFonts w:ascii="Times New Roman" w:hAnsi="Times New Roman"/>
          <w:sz w:val="22"/>
        </w:rPr>
        <w:br/>
      </w:r>
      <w:hyperlink r:id="rId16" w:history="1">
        <w:r>
          <w:rPr>
            <w:rStyle w:val="Hyperlink"/>
            <w:rFonts w:ascii="Times New Roman" w:hAnsi="Times New Roman"/>
            <w:sz w:val="22"/>
          </w:rPr>
          <w:t>http://eur-lex.europa.eu/legal-content/DE/TXT/PDF/?uri=CELEX:32003H0361&amp;from=DE</w:t>
        </w:r>
      </w:hyperlink>
      <w:r>
        <w:rPr>
          <w:rFonts w:ascii="Times New Roman" w:hAnsi="Times New Roman"/>
          <w:sz w:val="22"/>
        </w:rPr>
        <w:t>.</w:t>
      </w:r>
    </w:p>
    <w:p w:rsidR="00A43209" w:rsidRDefault="00A43209">
      <w:pPr>
        <w:pStyle w:val="Listenabsatz"/>
        <w:ind w:left="426"/>
        <w:jc w:val="both"/>
        <w:rPr>
          <w:rFonts w:ascii="Times New Roman" w:hAnsi="Times New Roman"/>
          <w:sz w:val="22"/>
        </w:rPr>
      </w:pPr>
    </w:p>
    <w:p w:rsidR="00A43209" w:rsidRDefault="00E254A8">
      <w:pPr>
        <w:pStyle w:val="Listenabsatz"/>
        <w:ind w:left="426"/>
        <w:jc w:val="both"/>
        <w:rPr>
          <w:rFonts w:ascii="Times New Roman" w:hAnsi="Times New Roman"/>
          <w:sz w:val="22"/>
        </w:rPr>
      </w:pPr>
      <w:r>
        <w:rPr>
          <w:rFonts w:ascii="Times New Roman" w:hAnsi="Times New Roman"/>
          <w:sz w:val="22"/>
        </w:rPr>
        <w:t>Antragstellende müssen – zum Zeitpunkt der Auszahlung einer gewährten Zuwendung – eine Betriebs</w:t>
      </w:r>
      <w:r>
        <w:rPr>
          <w:rFonts w:ascii="Times New Roman" w:hAnsi="Times New Roman"/>
          <w:sz w:val="22"/>
        </w:rPr>
        <w:t>stätte oder Niederlassung (Unternehmen) bzw. sonstige Einrichtung, die der Tätigkeit des Zuwendungsempfängers dient, in Deutschland nachweisen.</w:t>
      </w:r>
    </w:p>
    <w:p w:rsidR="00A43209" w:rsidRDefault="00A43209">
      <w:pPr>
        <w:pStyle w:val="Listenabsatz"/>
        <w:jc w:val="both"/>
        <w:rPr>
          <w:rFonts w:ascii="Times New Roman" w:hAnsi="Times New Roman"/>
          <w:sz w:val="22"/>
        </w:rPr>
      </w:pPr>
    </w:p>
    <w:p w:rsidR="00A43209" w:rsidRDefault="00E254A8">
      <w:pPr>
        <w:pStyle w:val="Listenabsatz"/>
        <w:numPr>
          <w:ilvl w:val="0"/>
          <w:numId w:val="44"/>
        </w:numPr>
        <w:ind w:left="426" w:hanging="426"/>
        <w:jc w:val="both"/>
        <w:rPr>
          <w:rFonts w:ascii="Times New Roman" w:hAnsi="Times New Roman"/>
          <w:sz w:val="22"/>
        </w:rPr>
      </w:pPr>
      <w:r>
        <w:rPr>
          <w:rFonts w:ascii="Times New Roman" w:hAnsi="Times New Roman"/>
          <w:b/>
          <w:sz w:val="22"/>
        </w:rPr>
        <w:t>Bei Verbundprojekten muss jede</w:t>
      </w:r>
      <w:r>
        <w:rPr>
          <w:rFonts w:ascii="Times New Roman" w:hAnsi="Times New Roman"/>
          <w:b/>
          <w:sz w:val="22"/>
        </w:rPr>
        <w:t>/</w:t>
      </w:r>
      <w:r>
        <w:rPr>
          <w:rFonts w:ascii="Times New Roman" w:hAnsi="Times New Roman"/>
          <w:b/>
          <w:sz w:val="22"/>
        </w:rPr>
        <w:t>r Verbundpartner</w:t>
      </w:r>
      <w:r>
        <w:rPr>
          <w:rFonts w:ascii="Times New Roman" w:hAnsi="Times New Roman"/>
          <w:b/>
          <w:sz w:val="22"/>
        </w:rPr>
        <w:t>/in</w:t>
      </w:r>
      <w:r>
        <w:rPr>
          <w:rFonts w:ascii="Times New Roman" w:hAnsi="Times New Roman"/>
          <w:b/>
          <w:sz w:val="22"/>
        </w:rPr>
        <w:t xml:space="preserve"> einen eigenen Förderantrag einreichen.</w:t>
      </w:r>
      <w:r>
        <w:rPr>
          <w:rFonts w:ascii="Times New Roman" w:hAnsi="Times New Roman"/>
          <w:sz w:val="22"/>
        </w:rPr>
        <w:t xml:space="preserve"> Die Vorhabenbeschreib</w:t>
      </w:r>
      <w:r>
        <w:rPr>
          <w:rFonts w:ascii="Times New Roman" w:hAnsi="Times New Roman"/>
          <w:sz w:val="22"/>
        </w:rPr>
        <w:t>ung kann übergreifend formuliert werden, sofern die spezifischen Aufgaben der Verbundpartner</w:t>
      </w:r>
      <w:r>
        <w:rPr>
          <w:rFonts w:ascii="Times New Roman" w:hAnsi="Times New Roman"/>
          <w:sz w:val="22"/>
        </w:rPr>
        <w:t>/-innen</w:t>
      </w:r>
      <w:r>
        <w:rPr>
          <w:rFonts w:ascii="Times New Roman" w:hAnsi="Times New Roman"/>
          <w:sz w:val="22"/>
        </w:rPr>
        <w:t xml:space="preserve"> im Verbund differenziert dargestellt sind. Ferner muss bei Verbundprojekten ein Nachweis zur Bestätigung der Kooperationsbereitschaft vorlegt werden, der vo</w:t>
      </w:r>
      <w:r>
        <w:rPr>
          <w:rFonts w:ascii="Times New Roman" w:hAnsi="Times New Roman"/>
          <w:sz w:val="22"/>
        </w:rPr>
        <w:t>n jeweils einer unterschriftsberechtigten Person der Verbundpartner</w:t>
      </w:r>
      <w:r>
        <w:rPr>
          <w:rFonts w:ascii="Times New Roman" w:hAnsi="Times New Roman"/>
          <w:sz w:val="22"/>
        </w:rPr>
        <w:t>/-innen</w:t>
      </w:r>
      <w:r>
        <w:rPr>
          <w:rFonts w:ascii="Times New Roman" w:hAnsi="Times New Roman"/>
          <w:sz w:val="22"/>
        </w:rPr>
        <w:t xml:space="preserve"> unterschrieben ist. In der Regel ist dies die Leitung der Einrichtung und nicht die Projektleitung. </w:t>
      </w:r>
      <w:r>
        <w:rPr>
          <w:rFonts w:ascii="Times New Roman" w:hAnsi="Times New Roman"/>
          <w:sz w:val="22"/>
        </w:rPr>
        <w:br/>
        <w:t xml:space="preserve">Weitere Informationen finden Sie unter: </w:t>
      </w:r>
      <w:hyperlink r:id="rId17" w:history="1">
        <w:r>
          <w:rPr>
            <w:rStyle w:val="Hyperlink"/>
            <w:rFonts w:ascii="Times New Roman" w:hAnsi="Times New Roman"/>
            <w:sz w:val="22"/>
          </w:rPr>
          <w:t>https://foerderportal.bund.de/easy/module/profi_formularschrank/download.php?datei1=219</w:t>
        </w:r>
      </w:hyperlink>
      <w:r>
        <w:rPr>
          <w:rFonts w:ascii="Times New Roman" w:hAnsi="Times New Roman"/>
          <w:sz w:val="22"/>
        </w:rPr>
        <w:t>.</w:t>
      </w:r>
    </w:p>
    <w:p w:rsidR="00A43209" w:rsidRDefault="00A43209">
      <w:pPr>
        <w:pStyle w:val="Listenabsatz"/>
        <w:jc w:val="both"/>
        <w:rPr>
          <w:rFonts w:ascii="Times New Roman" w:hAnsi="Times New Roman"/>
          <w:sz w:val="22"/>
        </w:rPr>
      </w:pPr>
    </w:p>
    <w:p w:rsidR="00A43209" w:rsidRDefault="00A43209">
      <w:pPr>
        <w:jc w:val="both"/>
        <w:rPr>
          <w:rFonts w:ascii="Times New Roman" w:hAnsi="Times New Roman"/>
          <w:sz w:val="22"/>
        </w:rPr>
      </w:pPr>
    </w:p>
    <w:p w:rsidR="00A43209" w:rsidRDefault="00E254A8">
      <w:pPr>
        <w:jc w:val="both"/>
        <w:rPr>
          <w:rFonts w:ascii="Times New Roman" w:hAnsi="Times New Roman"/>
          <w:b/>
          <w:color w:val="7030A0"/>
          <w:sz w:val="24"/>
          <w:szCs w:val="24"/>
        </w:rPr>
      </w:pPr>
      <w:r>
        <w:rPr>
          <w:rFonts w:ascii="Times New Roman" w:hAnsi="Times New Roman"/>
          <w:b/>
          <w:color w:val="7030A0"/>
          <w:sz w:val="24"/>
          <w:szCs w:val="24"/>
        </w:rPr>
        <w:t>Ist ein Eigenanteil zu erbringen? Welche besonderen Unterlagen sind einzureichen?</w:t>
      </w:r>
    </w:p>
    <w:p w:rsidR="00A43209" w:rsidRDefault="00A43209">
      <w:pPr>
        <w:jc w:val="both"/>
        <w:rPr>
          <w:rFonts w:ascii="Times New Roman" w:hAnsi="Times New Roman"/>
          <w:sz w:val="22"/>
          <w:szCs w:val="22"/>
        </w:rPr>
      </w:pPr>
    </w:p>
    <w:p w:rsidR="00A43209" w:rsidRDefault="00E254A8">
      <w:pPr>
        <w:pStyle w:val="Listenabsatz"/>
        <w:numPr>
          <w:ilvl w:val="0"/>
          <w:numId w:val="44"/>
        </w:numPr>
        <w:ind w:left="426" w:hanging="426"/>
        <w:jc w:val="both"/>
        <w:rPr>
          <w:rFonts w:ascii="Times New Roman" w:hAnsi="Times New Roman"/>
          <w:sz w:val="22"/>
        </w:rPr>
      </w:pPr>
      <w:r>
        <w:rPr>
          <w:rFonts w:ascii="Times New Roman" w:hAnsi="Times New Roman"/>
          <w:sz w:val="22"/>
        </w:rPr>
        <w:t xml:space="preserve">Staatliche und </w:t>
      </w:r>
      <w:r>
        <w:rPr>
          <w:rFonts w:ascii="Times New Roman" w:hAnsi="Times New Roman"/>
          <w:sz w:val="22"/>
        </w:rPr>
        <w:t>private, staatlich anerkannte Hochschulen sowie außeruniversitäre Forschungseinrichtungen können eine Förderquote von bis zu 100% erhalten. Die Einbringung von Eigenmitteln wird bei der Auswahl der Förderanträge positiv berücksichtigt.</w:t>
      </w:r>
    </w:p>
    <w:p w:rsidR="00A43209" w:rsidRDefault="00A43209">
      <w:pPr>
        <w:pStyle w:val="Listenabsatz"/>
        <w:ind w:left="426"/>
        <w:jc w:val="both"/>
        <w:rPr>
          <w:rFonts w:ascii="Times New Roman" w:hAnsi="Times New Roman"/>
          <w:sz w:val="22"/>
        </w:rPr>
      </w:pPr>
    </w:p>
    <w:p w:rsidR="00A43209" w:rsidRDefault="00E254A8">
      <w:pPr>
        <w:pStyle w:val="Listenabsatz"/>
        <w:numPr>
          <w:ilvl w:val="0"/>
          <w:numId w:val="37"/>
        </w:numPr>
        <w:ind w:left="426" w:hanging="426"/>
        <w:jc w:val="both"/>
        <w:rPr>
          <w:rFonts w:ascii="Times New Roman" w:hAnsi="Times New Roman"/>
          <w:sz w:val="22"/>
        </w:rPr>
      </w:pPr>
      <w:r>
        <w:rPr>
          <w:rFonts w:ascii="Times New Roman" w:hAnsi="Times New Roman"/>
          <w:sz w:val="22"/>
        </w:rPr>
        <w:t>Kleine und mittlere</w:t>
      </w:r>
      <w:r>
        <w:rPr>
          <w:rFonts w:ascii="Times New Roman" w:hAnsi="Times New Roman"/>
          <w:sz w:val="22"/>
        </w:rPr>
        <w:t xml:space="preserve"> Unternehm</w:t>
      </w:r>
      <w:r>
        <w:rPr>
          <w:rFonts w:ascii="Times New Roman" w:hAnsi="Times New Roman"/>
          <w:sz w:val="22"/>
        </w:rPr>
        <w:t>en</w:t>
      </w:r>
      <w:r>
        <w:rPr>
          <w:rFonts w:ascii="Times New Roman" w:hAnsi="Times New Roman"/>
          <w:sz w:val="22"/>
        </w:rPr>
        <w:t xml:space="preserve"> der gewerblichen Wirtschaft und nicht gewerbliche Institutionen wie</w:t>
      </w:r>
      <w:r>
        <w:rPr>
          <w:rFonts w:ascii="Times New Roman" w:hAnsi="Times New Roman"/>
          <w:sz w:val="22"/>
        </w:rPr>
        <w:t xml:space="preserve"> </w:t>
      </w:r>
      <w:r>
        <w:rPr>
          <w:rFonts w:ascii="Times New Roman" w:hAnsi="Times New Roman"/>
          <w:sz w:val="22"/>
        </w:rPr>
        <w:t>Stiftungen und gemeinnützige Vereine müssen einen Eigenanteil für die projektbezogenen Ausgaben/Kosten erbringen. Grundlage für die Festlegung der Förderquote ist der detailli</w:t>
      </w:r>
      <w:r>
        <w:rPr>
          <w:rFonts w:ascii="Times New Roman" w:hAnsi="Times New Roman"/>
          <w:sz w:val="22"/>
        </w:rPr>
        <w:t xml:space="preserve">erte Arbeitsplan mit einzelnen Arbeitspaketen. Dabei erfolgt eine Bewertung der geplanten Arbeitspakete hinsichtlich ihres Gehalts beispielsweise </w:t>
      </w:r>
      <w:r>
        <w:rPr>
          <w:rFonts w:ascii="Times New Roman" w:hAnsi="Times New Roman"/>
          <w:sz w:val="22"/>
        </w:rPr>
        <w:t xml:space="preserve">an industrieller Forschung und experimenteller Entwicklung </w:t>
      </w:r>
      <w:r>
        <w:rPr>
          <w:rFonts w:ascii="Times New Roman" w:hAnsi="Times New Roman"/>
          <w:sz w:val="22"/>
        </w:rPr>
        <w:t>(</w:t>
      </w:r>
      <w:hyperlink r:id="rId18" w:tgtFrame="_blank" w:history="1">
        <w:r>
          <w:rPr>
            <w:rFonts w:ascii="Times New Roman" w:hAnsi="Times New Roman"/>
            <w:sz w:val="22"/>
          </w:rPr>
          <w:t>Begriffserklärung siehe EU-Gemeinschaftsrahmen für staatliche Beihilfen für Forschung, Entwicklung und Innovation Ziff. 2.2 f und g</w:t>
        </w:r>
      </w:hyperlink>
      <w:r>
        <w:rPr>
          <w:rFonts w:ascii="Times New Roman" w:hAnsi="Times New Roman"/>
          <w:sz w:val="22"/>
        </w:rPr>
        <w:t>). Die Anteile der industriellen Forschung können mit bis zu 50 % gefördert werden, die d</w:t>
      </w:r>
      <w:r>
        <w:rPr>
          <w:rFonts w:ascii="Times New Roman" w:hAnsi="Times New Roman"/>
          <w:sz w:val="22"/>
        </w:rPr>
        <w:t xml:space="preserve">er experimentellen Entwicklung </w:t>
      </w:r>
      <w:r>
        <w:rPr>
          <w:rFonts w:ascii="Times New Roman" w:hAnsi="Times New Roman"/>
          <w:sz w:val="22"/>
        </w:rPr>
        <w:lastRenderedPageBreak/>
        <w:t>mit bis zu 25 %. Kleine und mittelständische Unternehmen gemäß EU-Definition können zusätzlich einen KMU-Bonus von 10 % erhalten. Aus der anteilig gewichteten Bewertung kann sich für jedes Unternehmen demzufolge eine individu</w:t>
      </w:r>
      <w:r>
        <w:rPr>
          <w:rFonts w:ascii="Times New Roman" w:hAnsi="Times New Roman"/>
          <w:sz w:val="22"/>
        </w:rPr>
        <w:t>elle Förderquote ergeben.</w:t>
      </w:r>
    </w:p>
    <w:p w:rsidR="00A43209" w:rsidRDefault="00A43209">
      <w:pPr>
        <w:pStyle w:val="Listenabsatz"/>
        <w:ind w:left="426"/>
        <w:jc w:val="both"/>
        <w:rPr>
          <w:rFonts w:ascii="Times New Roman" w:hAnsi="Times New Roman"/>
          <w:sz w:val="22"/>
        </w:rPr>
      </w:pPr>
    </w:p>
    <w:p w:rsidR="00A43209" w:rsidRDefault="00E254A8">
      <w:pPr>
        <w:pStyle w:val="Listenabsatz"/>
        <w:numPr>
          <w:ilvl w:val="0"/>
          <w:numId w:val="37"/>
        </w:numPr>
        <w:ind w:left="426" w:hanging="426"/>
        <w:jc w:val="both"/>
        <w:rPr>
          <w:rFonts w:ascii="Times New Roman" w:hAnsi="Times New Roman"/>
          <w:sz w:val="22"/>
        </w:rPr>
      </w:pPr>
      <w:r>
        <w:rPr>
          <w:rFonts w:ascii="Times New Roman" w:hAnsi="Times New Roman"/>
          <w:sz w:val="22"/>
        </w:rPr>
        <w:t>Das Erbringen des Eigenanteils muss bereits bei der Antragstellung bestätigt werden.</w:t>
      </w:r>
    </w:p>
    <w:p w:rsidR="00A43209" w:rsidRDefault="00A43209">
      <w:pPr>
        <w:jc w:val="both"/>
        <w:rPr>
          <w:rFonts w:ascii="Times New Roman" w:hAnsi="Times New Roman"/>
          <w:sz w:val="22"/>
        </w:rPr>
      </w:pPr>
    </w:p>
    <w:p w:rsidR="00A43209" w:rsidRDefault="00E254A8">
      <w:pPr>
        <w:pStyle w:val="Listenabsatz"/>
        <w:numPr>
          <w:ilvl w:val="0"/>
          <w:numId w:val="37"/>
        </w:numPr>
        <w:ind w:left="426" w:hanging="426"/>
        <w:jc w:val="both"/>
        <w:rPr>
          <w:rFonts w:ascii="Times New Roman" w:hAnsi="Times New Roman"/>
          <w:sz w:val="22"/>
        </w:rPr>
      </w:pPr>
      <w:r>
        <w:rPr>
          <w:rFonts w:ascii="Times New Roman" w:hAnsi="Times New Roman"/>
          <w:b/>
          <w:sz w:val="22"/>
        </w:rPr>
        <w:t>Antragstellende, die gemäß der EU-Definition ein KMU sind, müssen dem Antrag folgende Unterlagen beifügen:</w:t>
      </w:r>
      <w:r>
        <w:rPr>
          <w:rFonts w:ascii="Times New Roman" w:hAnsi="Times New Roman"/>
          <w:sz w:val="22"/>
        </w:rPr>
        <w:t xml:space="preserve"> *)</w:t>
      </w:r>
    </w:p>
    <w:p w:rsidR="00A43209" w:rsidRDefault="00A43209">
      <w:pPr>
        <w:jc w:val="both"/>
        <w:rPr>
          <w:rFonts w:ascii="Times New Roman" w:hAnsi="Times New Roman"/>
          <w:color w:val="1F497D"/>
          <w:sz w:val="22"/>
        </w:rPr>
      </w:pPr>
    </w:p>
    <w:p w:rsidR="00A43209" w:rsidRDefault="00E254A8">
      <w:pPr>
        <w:pStyle w:val="Listenabsatz"/>
        <w:numPr>
          <w:ilvl w:val="0"/>
          <w:numId w:val="35"/>
        </w:numPr>
        <w:jc w:val="both"/>
        <w:rPr>
          <w:rFonts w:ascii="Times New Roman" w:hAnsi="Times New Roman"/>
          <w:sz w:val="22"/>
        </w:rPr>
      </w:pPr>
      <w:r>
        <w:rPr>
          <w:rFonts w:ascii="Times New Roman" w:hAnsi="Times New Roman"/>
          <w:sz w:val="22"/>
        </w:rPr>
        <w:t xml:space="preserve">einen aktuellen </w:t>
      </w:r>
      <w:r>
        <w:rPr>
          <w:rFonts w:ascii="Times New Roman" w:hAnsi="Times New Roman"/>
          <w:sz w:val="22"/>
        </w:rPr>
        <w:t>Handelsregisterauszug mit Dokumentation der gültigen Unterschriftenregelung,</w:t>
      </w:r>
    </w:p>
    <w:p w:rsidR="00A43209" w:rsidRDefault="00E254A8">
      <w:pPr>
        <w:pStyle w:val="Listenabsatz"/>
        <w:numPr>
          <w:ilvl w:val="0"/>
          <w:numId w:val="35"/>
        </w:numPr>
        <w:jc w:val="both"/>
        <w:rPr>
          <w:rFonts w:ascii="Times New Roman" w:hAnsi="Times New Roman"/>
          <w:sz w:val="22"/>
        </w:rPr>
      </w:pPr>
      <w:r>
        <w:rPr>
          <w:rFonts w:ascii="Times New Roman" w:hAnsi="Times New Roman"/>
          <w:sz w:val="22"/>
        </w:rPr>
        <w:t xml:space="preserve">für die Anerkennung des KMU-Status für einen möglichen KMU-Bonus, das Formular „Angaben zur Einstufung als KMU“ mit Anlagen *), </w:t>
      </w:r>
    </w:p>
    <w:p w:rsidR="00A43209" w:rsidRDefault="00E254A8">
      <w:pPr>
        <w:pStyle w:val="Listenabsatz"/>
        <w:numPr>
          <w:ilvl w:val="0"/>
          <w:numId w:val="35"/>
        </w:numPr>
        <w:jc w:val="both"/>
        <w:rPr>
          <w:rFonts w:ascii="Times New Roman" w:hAnsi="Times New Roman"/>
          <w:sz w:val="22"/>
        </w:rPr>
      </w:pPr>
      <w:r>
        <w:rPr>
          <w:rFonts w:ascii="Times New Roman" w:hAnsi="Times New Roman"/>
          <w:sz w:val="22"/>
        </w:rPr>
        <w:t>die beiden letzten, durch eine(n) sachverständige(</w:t>
      </w:r>
      <w:r>
        <w:rPr>
          <w:rFonts w:ascii="Times New Roman" w:hAnsi="Times New Roman"/>
          <w:sz w:val="22"/>
        </w:rPr>
        <w:t>n) Buch- oder Wirtschaftsprüfer/in (evtl. Steuerberater/in) bestätigten Jahresabschlüsse einschließlich Geschäftsbericht bzw. Erläuterungen,</w:t>
      </w:r>
    </w:p>
    <w:p w:rsidR="00A43209" w:rsidRDefault="00E254A8">
      <w:pPr>
        <w:pStyle w:val="Listenabsatz"/>
        <w:numPr>
          <w:ilvl w:val="0"/>
          <w:numId w:val="35"/>
        </w:numPr>
        <w:jc w:val="both"/>
        <w:rPr>
          <w:rFonts w:ascii="Times New Roman" w:hAnsi="Times New Roman"/>
          <w:sz w:val="22"/>
        </w:rPr>
      </w:pPr>
      <w:r>
        <w:rPr>
          <w:rFonts w:ascii="Times New Roman" w:hAnsi="Times New Roman"/>
          <w:sz w:val="22"/>
        </w:rPr>
        <w:t>ggf. den vorläufigen Jahresabschluss des Vorjahres,</w:t>
      </w:r>
    </w:p>
    <w:p w:rsidR="00A43209" w:rsidRDefault="00E254A8">
      <w:pPr>
        <w:pStyle w:val="Listenabsatz"/>
        <w:numPr>
          <w:ilvl w:val="0"/>
          <w:numId w:val="35"/>
        </w:numPr>
        <w:jc w:val="both"/>
        <w:rPr>
          <w:rFonts w:ascii="Times New Roman" w:hAnsi="Times New Roman"/>
          <w:sz w:val="22"/>
        </w:rPr>
      </w:pPr>
      <w:r>
        <w:rPr>
          <w:rFonts w:ascii="Times New Roman" w:hAnsi="Times New Roman"/>
          <w:sz w:val="22"/>
        </w:rPr>
        <w:t>eine aktuelle Bankauskunft mit einer allgemeinen Beurteilung de</w:t>
      </w:r>
      <w:r>
        <w:rPr>
          <w:rFonts w:ascii="Times New Roman" w:hAnsi="Times New Roman"/>
          <w:sz w:val="22"/>
        </w:rPr>
        <w:t>s Bankkunden</w:t>
      </w:r>
      <w:r>
        <w:rPr>
          <w:rFonts w:ascii="Times New Roman" w:hAnsi="Times New Roman"/>
          <w:sz w:val="22"/>
        </w:rPr>
        <w:t>/der Bankkundin</w:t>
      </w:r>
      <w:r>
        <w:rPr>
          <w:rFonts w:ascii="Times New Roman" w:hAnsi="Times New Roman"/>
          <w:sz w:val="22"/>
        </w:rPr>
        <w:t>, Aussagen zur Kreditinanspruchnahme/-besicherung und Umsätzen auf dem Konto,</w:t>
      </w:r>
    </w:p>
    <w:p w:rsidR="00A43209" w:rsidRDefault="00E254A8">
      <w:pPr>
        <w:pStyle w:val="Listenabsatz"/>
        <w:numPr>
          <w:ilvl w:val="0"/>
          <w:numId w:val="35"/>
        </w:numPr>
        <w:jc w:val="both"/>
        <w:rPr>
          <w:rFonts w:ascii="Times New Roman" w:hAnsi="Times New Roman"/>
          <w:sz w:val="22"/>
        </w:rPr>
      </w:pPr>
      <w:r>
        <w:rPr>
          <w:rFonts w:ascii="Times New Roman" w:hAnsi="Times New Roman"/>
          <w:sz w:val="22"/>
        </w:rPr>
        <w:t>eine aktuelle Betriebswirtschaftliche Auskunft (BWA).</w:t>
      </w:r>
    </w:p>
    <w:p w:rsidR="00A43209" w:rsidRDefault="00A43209">
      <w:pPr>
        <w:ind w:right="29"/>
        <w:jc w:val="both"/>
        <w:rPr>
          <w:rFonts w:ascii="Times New Roman" w:hAnsi="Times New Roman"/>
          <w:snapToGrid w:val="0"/>
          <w:sz w:val="22"/>
        </w:rPr>
      </w:pPr>
    </w:p>
    <w:p w:rsidR="00A43209" w:rsidRDefault="00E254A8">
      <w:pPr>
        <w:ind w:right="29"/>
        <w:jc w:val="both"/>
        <w:rPr>
          <w:rFonts w:ascii="Times New Roman" w:hAnsi="Times New Roman"/>
          <w:snapToGrid w:val="0"/>
          <w:sz w:val="22"/>
        </w:rPr>
      </w:pPr>
      <w:r>
        <w:rPr>
          <w:rFonts w:ascii="Times New Roman" w:hAnsi="Times New Roman"/>
          <w:snapToGrid w:val="0"/>
          <w:sz w:val="22"/>
        </w:rPr>
        <w:t>Sämtliche Unterlagen, welche die finanzielle Situation des Unternehmens betreffen, werden vertra</w:t>
      </w:r>
      <w:r>
        <w:rPr>
          <w:rFonts w:ascii="Times New Roman" w:hAnsi="Times New Roman"/>
          <w:snapToGrid w:val="0"/>
          <w:sz w:val="22"/>
        </w:rPr>
        <w:t>ulich behandelt und nach Bearbeitung selbstverständlich gelöscht</w:t>
      </w:r>
      <w:r>
        <w:rPr>
          <w:rFonts w:ascii="Times New Roman" w:hAnsi="Times New Roman"/>
          <w:snapToGrid w:val="0"/>
          <w:sz w:val="22"/>
        </w:rPr>
        <w:t>.</w:t>
      </w:r>
    </w:p>
    <w:p w:rsidR="00A43209" w:rsidRDefault="00A43209">
      <w:pPr>
        <w:jc w:val="both"/>
        <w:rPr>
          <w:rFonts w:ascii="Times New Roman" w:hAnsi="Times New Roman"/>
          <w:sz w:val="22"/>
        </w:rPr>
      </w:pPr>
    </w:p>
    <w:p w:rsidR="00A43209" w:rsidRDefault="00A43209">
      <w:pPr>
        <w:jc w:val="both"/>
        <w:rPr>
          <w:rFonts w:ascii="Times New Roman" w:hAnsi="Times New Roman"/>
          <w:sz w:val="22"/>
        </w:rPr>
      </w:pPr>
    </w:p>
    <w:p w:rsidR="00A43209" w:rsidRDefault="00E254A8">
      <w:pPr>
        <w:jc w:val="both"/>
        <w:rPr>
          <w:rFonts w:ascii="Times New Roman" w:hAnsi="Times New Roman"/>
          <w:b/>
          <w:color w:val="7030A0"/>
          <w:sz w:val="24"/>
          <w:szCs w:val="24"/>
        </w:rPr>
      </w:pPr>
      <w:r>
        <w:rPr>
          <w:rFonts w:ascii="Times New Roman" w:hAnsi="Times New Roman"/>
          <w:b/>
          <w:color w:val="7030A0"/>
          <w:sz w:val="24"/>
          <w:szCs w:val="24"/>
        </w:rPr>
        <w:t>Was ist bei der Darstellung des beantragten Projekts besonders zu beachten?</w:t>
      </w:r>
    </w:p>
    <w:p w:rsidR="00A43209" w:rsidRDefault="00A43209">
      <w:pPr>
        <w:jc w:val="both"/>
        <w:rPr>
          <w:rFonts w:ascii="Times New Roman" w:hAnsi="Times New Roman"/>
          <w:sz w:val="22"/>
          <w:u w:val="single"/>
        </w:rPr>
      </w:pPr>
    </w:p>
    <w:p w:rsidR="00A43209" w:rsidRDefault="00E254A8">
      <w:pPr>
        <w:pStyle w:val="Listenabsatz"/>
        <w:numPr>
          <w:ilvl w:val="0"/>
          <w:numId w:val="37"/>
        </w:numPr>
        <w:ind w:left="426" w:hanging="426"/>
        <w:jc w:val="both"/>
        <w:rPr>
          <w:rFonts w:ascii="Times New Roman" w:hAnsi="Times New Roman"/>
          <w:sz w:val="22"/>
        </w:rPr>
      </w:pPr>
      <w:r>
        <w:rPr>
          <w:rFonts w:ascii="Times New Roman" w:hAnsi="Times New Roman"/>
          <w:sz w:val="22"/>
        </w:rPr>
        <w:t xml:space="preserve">Sind die formalen Zuwendungsvoraussetzungen erfüllt und wurden die vollständigen Unterlagen eingereicht, werden die Anträge unter Anwendung der am Ende von </w:t>
      </w:r>
      <w:r>
        <w:rPr>
          <w:rFonts w:ascii="Times New Roman" w:hAnsi="Times New Roman"/>
          <w:sz w:val="22"/>
        </w:rPr>
        <w:t xml:space="preserve">Nummer </w:t>
      </w:r>
      <w:r>
        <w:rPr>
          <w:rFonts w:ascii="Times New Roman" w:hAnsi="Times New Roman"/>
          <w:sz w:val="22"/>
        </w:rPr>
        <w:t>7.2. der Förderrichtlinie genannten und nachfolgend dargestellten Bewertungskriterien</w:t>
      </w:r>
      <w:r>
        <w:rPr>
          <w:rFonts w:ascii="Times New Roman" w:hAnsi="Times New Roman"/>
          <w:sz w:val="22"/>
        </w:rPr>
        <w:t xml:space="preserve"> bewertet. </w:t>
      </w:r>
    </w:p>
    <w:p w:rsidR="00A43209" w:rsidRDefault="00A43209">
      <w:pPr>
        <w:pStyle w:val="Listenabsatz"/>
        <w:ind w:left="426"/>
        <w:jc w:val="both"/>
        <w:rPr>
          <w:rFonts w:ascii="Times New Roman" w:hAnsi="Times New Roman"/>
          <w:sz w:val="22"/>
        </w:rPr>
      </w:pPr>
    </w:p>
    <w:p w:rsidR="00A43209" w:rsidRDefault="00E254A8">
      <w:pPr>
        <w:pStyle w:val="Listenabsatz"/>
        <w:numPr>
          <w:ilvl w:val="0"/>
          <w:numId w:val="33"/>
        </w:numPr>
        <w:ind w:left="851" w:hanging="425"/>
        <w:jc w:val="both"/>
        <w:rPr>
          <w:rFonts w:ascii="Times New Roman" w:hAnsi="Times New Roman"/>
          <w:sz w:val="22"/>
        </w:rPr>
      </w:pPr>
      <w:r>
        <w:rPr>
          <w:rFonts w:ascii="Times New Roman" w:hAnsi="Times New Roman"/>
          <w:b/>
          <w:sz w:val="22"/>
        </w:rPr>
        <w:t>Übereinstimmung mit</w:t>
      </w:r>
      <w:r>
        <w:rPr>
          <w:rFonts w:ascii="Times New Roman" w:hAnsi="Times New Roman"/>
          <w:sz w:val="22"/>
        </w:rPr>
        <w:t xml:space="preserve"> dem in Nummer 1 (insbesondere zweiter Absatz) und </w:t>
      </w:r>
      <w:r>
        <w:rPr>
          <w:rFonts w:ascii="Times New Roman" w:hAnsi="Times New Roman"/>
          <w:sz w:val="22"/>
        </w:rPr>
        <w:t>in Nummer</w:t>
      </w:r>
      <w:r>
        <w:rPr>
          <w:rFonts w:ascii="Times New Roman" w:hAnsi="Times New Roman"/>
          <w:sz w:val="22"/>
        </w:rPr>
        <w:t xml:space="preserve"> 2 (insbesondere einleitender Absatz) genannten </w:t>
      </w:r>
      <w:r>
        <w:rPr>
          <w:rFonts w:ascii="Times New Roman" w:hAnsi="Times New Roman"/>
          <w:b/>
          <w:sz w:val="22"/>
        </w:rPr>
        <w:t>Zuwendungszweck und Zuwendungsgegenstand</w:t>
      </w:r>
      <w:r>
        <w:rPr>
          <w:rFonts w:ascii="Times New Roman" w:hAnsi="Times New Roman"/>
          <w:sz w:val="22"/>
        </w:rPr>
        <w:t>.</w:t>
      </w:r>
    </w:p>
    <w:p w:rsidR="00A43209" w:rsidRDefault="00E254A8">
      <w:pPr>
        <w:pStyle w:val="Listenabsatz"/>
        <w:numPr>
          <w:ilvl w:val="0"/>
          <w:numId w:val="33"/>
        </w:numPr>
        <w:ind w:left="851" w:hanging="425"/>
        <w:jc w:val="both"/>
        <w:rPr>
          <w:rFonts w:ascii="Times New Roman" w:hAnsi="Times New Roman"/>
          <w:sz w:val="22"/>
        </w:rPr>
      </w:pPr>
      <w:r>
        <w:rPr>
          <w:rFonts w:ascii="Times New Roman" w:hAnsi="Times New Roman"/>
          <w:b/>
          <w:sz w:val="22"/>
        </w:rPr>
        <w:lastRenderedPageBreak/>
        <w:t>Originalität, Kreativität und Qualität</w:t>
      </w:r>
      <w:r>
        <w:rPr>
          <w:rFonts w:ascii="Times New Roman" w:hAnsi="Times New Roman"/>
          <w:sz w:val="22"/>
        </w:rPr>
        <w:t xml:space="preserve"> des Ansatzes; hierbei wir</w:t>
      </w:r>
      <w:r>
        <w:rPr>
          <w:rFonts w:ascii="Times New Roman" w:hAnsi="Times New Roman"/>
          <w:sz w:val="22"/>
        </w:rPr>
        <w:t>d ausdrücklich empfohlen, den aktuellen Stand der Wissenschaft und Technik als einen Ausgangspunkt des Vorhabens darzustellen.</w:t>
      </w:r>
    </w:p>
    <w:p w:rsidR="00A43209" w:rsidRDefault="00E254A8">
      <w:pPr>
        <w:pStyle w:val="Listenabsatz"/>
        <w:numPr>
          <w:ilvl w:val="0"/>
          <w:numId w:val="33"/>
        </w:numPr>
        <w:ind w:left="851" w:hanging="425"/>
        <w:jc w:val="both"/>
        <w:rPr>
          <w:rFonts w:ascii="Times New Roman" w:hAnsi="Times New Roman"/>
          <w:sz w:val="22"/>
        </w:rPr>
      </w:pPr>
      <w:r>
        <w:rPr>
          <w:rFonts w:ascii="Times New Roman" w:hAnsi="Times New Roman"/>
          <w:b/>
          <w:sz w:val="22"/>
        </w:rPr>
        <w:t>Reichweite</w:t>
      </w:r>
      <w:r>
        <w:rPr>
          <w:rFonts w:ascii="Times New Roman" w:hAnsi="Times New Roman"/>
          <w:sz w:val="22"/>
        </w:rPr>
        <w:t xml:space="preserve"> und </w:t>
      </w:r>
      <w:r>
        <w:rPr>
          <w:rFonts w:ascii="Times New Roman" w:hAnsi="Times New Roman"/>
          <w:b/>
          <w:sz w:val="22"/>
        </w:rPr>
        <w:t>n</w:t>
      </w:r>
      <w:r>
        <w:rPr>
          <w:rFonts w:ascii="Times New Roman" w:hAnsi="Times New Roman"/>
          <w:b/>
          <w:sz w:val="22"/>
        </w:rPr>
        <w:t>achhaltige Nutzbarkeit</w:t>
      </w:r>
      <w:r>
        <w:rPr>
          <w:rFonts w:ascii="Times New Roman" w:hAnsi="Times New Roman"/>
          <w:sz w:val="22"/>
        </w:rPr>
        <w:t xml:space="preserve"> der Ergebnisse im Anschluss an die Förderung. Einen besonderen Stellenwert besitzt hierbe</w:t>
      </w:r>
      <w:r>
        <w:rPr>
          <w:rFonts w:ascii="Times New Roman" w:hAnsi="Times New Roman"/>
          <w:sz w:val="22"/>
        </w:rPr>
        <w:t>i die Einbindung von Akteuren</w:t>
      </w:r>
      <w:r>
        <w:rPr>
          <w:rFonts w:ascii="Times New Roman" w:hAnsi="Times New Roman"/>
          <w:sz w:val="22"/>
        </w:rPr>
        <w:t xml:space="preserve"> und Akteurinnen</w:t>
      </w:r>
      <w:r>
        <w:rPr>
          <w:rFonts w:ascii="Times New Roman" w:hAnsi="Times New Roman"/>
          <w:sz w:val="22"/>
        </w:rPr>
        <w:t xml:space="preserve">, die zu einer Erhöhung des Transformationspotentials beitragen. </w:t>
      </w:r>
    </w:p>
    <w:p w:rsidR="00A43209" w:rsidRDefault="00E254A8">
      <w:pPr>
        <w:pStyle w:val="Listenabsatz"/>
        <w:numPr>
          <w:ilvl w:val="0"/>
          <w:numId w:val="33"/>
        </w:numPr>
        <w:ind w:left="851" w:hanging="425"/>
        <w:jc w:val="both"/>
        <w:rPr>
          <w:rFonts w:ascii="Times New Roman" w:hAnsi="Times New Roman"/>
          <w:sz w:val="22"/>
        </w:rPr>
      </w:pPr>
      <w:r>
        <w:rPr>
          <w:rFonts w:ascii="Times New Roman" w:hAnsi="Times New Roman"/>
          <w:b/>
          <w:sz w:val="22"/>
        </w:rPr>
        <w:t>Qualifikation</w:t>
      </w:r>
      <w:r>
        <w:rPr>
          <w:rFonts w:ascii="Times New Roman" w:hAnsi="Times New Roman"/>
          <w:sz w:val="22"/>
        </w:rPr>
        <w:t xml:space="preserve"> der beteiligten Einrichtung(en), Vorhandensein von fachlich qualifizierten personellen Ressourcen zur Umsetzung des Projekts.</w:t>
      </w:r>
    </w:p>
    <w:p w:rsidR="00A43209" w:rsidRDefault="00E254A8">
      <w:pPr>
        <w:pStyle w:val="Listenabsatz"/>
        <w:numPr>
          <w:ilvl w:val="0"/>
          <w:numId w:val="33"/>
        </w:numPr>
        <w:ind w:left="851" w:hanging="425"/>
        <w:jc w:val="both"/>
        <w:rPr>
          <w:rFonts w:ascii="Times New Roman" w:hAnsi="Times New Roman"/>
          <w:sz w:val="22"/>
        </w:rPr>
      </w:pPr>
      <w:r>
        <w:rPr>
          <w:rFonts w:ascii="Times New Roman" w:hAnsi="Times New Roman"/>
          <w:b/>
          <w:sz w:val="22"/>
        </w:rPr>
        <w:t>Qualität und Renommee</w:t>
      </w:r>
      <w:r>
        <w:rPr>
          <w:rFonts w:ascii="Times New Roman" w:hAnsi="Times New Roman"/>
          <w:sz w:val="22"/>
        </w:rPr>
        <w:t xml:space="preserve"> der zu transformierenden Publikationen.</w:t>
      </w:r>
    </w:p>
    <w:p w:rsidR="00A43209" w:rsidRDefault="00E254A8">
      <w:pPr>
        <w:pStyle w:val="Listenabsatz"/>
        <w:numPr>
          <w:ilvl w:val="0"/>
          <w:numId w:val="33"/>
        </w:numPr>
        <w:ind w:left="851" w:hanging="425"/>
        <w:jc w:val="both"/>
        <w:rPr>
          <w:rFonts w:ascii="Times New Roman" w:hAnsi="Times New Roman"/>
          <w:sz w:val="22"/>
        </w:rPr>
      </w:pPr>
      <w:r>
        <w:rPr>
          <w:rFonts w:ascii="Times New Roman" w:hAnsi="Times New Roman"/>
          <w:b/>
          <w:sz w:val="22"/>
        </w:rPr>
        <w:t>Angemessenheit</w:t>
      </w:r>
      <w:r>
        <w:rPr>
          <w:rFonts w:ascii="Times New Roman" w:hAnsi="Times New Roman"/>
          <w:sz w:val="22"/>
        </w:rPr>
        <w:t xml:space="preserve"> der geplanten finanziellen Aufwendungen.</w:t>
      </w:r>
    </w:p>
    <w:p w:rsidR="00A43209" w:rsidRDefault="00A43209">
      <w:pPr>
        <w:jc w:val="both"/>
        <w:rPr>
          <w:rFonts w:ascii="Times New Roman" w:hAnsi="Times New Roman"/>
          <w:sz w:val="22"/>
        </w:rPr>
      </w:pPr>
    </w:p>
    <w:p w:rsidR="00A43209" w:rsidRDefault="00E254A8">
      <w:pPr>
        <w:ind w:left="426"/>
        <w:jc w:val="both"/>
        <w:rPr>
          <w:rFonts w:ascii="Times New Roman" w:hAnsi="Times New Roman"/>
          <w:sz w:val="22"/>
        </w:rPr>
      </w:pPr>
      <w:r>
        <w:rPr>
          <w:rFonts w:ascii="Times New Roman" w:hAnsi="Times New Roman"/>
          <w:sz w:val="22"/>
        </w:rPr>
        <w:t xml:space="preserve">Die Anträge stehen im </w:t>
      </w:r>
      <w:r>
        <w:rPr>
          <w:rFonts w:ascii="Times New Roman" w:hAnsi="Times New Roman"/>
          <w:b/>
          <w:sz w:val="22"/>
        </w:rPr>
        <w:t>Wettbewerb</w:t>
      </w:r>
      <w:r>
        <w:rPr>
          <w:rFonts w:ascii="Times New Roman" w:hAnsi="Times New Roman"/>
          <w:sz w:val="22"/>
        </w:rPr>
        <w:t xml:space="preserve"> zueinander. Sollten die zur Verfügung stehenden Haushaltsmittel nicht ausreichen, um alle positiv bewerteten Anträge zu fördern, werden die Anträge nach Bewertung verglichen und in eine Rangfolge gebracht. Ein Anspruch auf Förderung besteht nicht.</w:t>
      </w:r>
    </w:p>
    <w:p w:rsidR="00A43209" w:rsidRDefault="00A43209">
      <w:pPr>
        <w:jc w:val="both"/>
        <w:rPr>
          <w:rFonts w:ascii="Times New Roman" w:hAnsi="Times New Roman"/>
          <w:sz w:val="22"/>
        </w:rPr>
      </w:pPr>
    </w:p>
    <w:p w:rsidR="00A43209" w:rsidRDefault="00E254A8">
      <w:pPr>
        <w:pStyle w:val="Listenabsatz"/>
        <w:ind w:left="426"/>
        <w:jc w:val="both"/>
        <w:rPr>
          <w:rFonts w:ascii="Times New Roman" w:hAnsi="Times New Roman"/>
          <w:sz w:val="22"/>
        </w:rPr>
      </w:pPr>
      <w:r>
        <w:rPr>
          <w:rFonts w:ascii="Times New Roman" w:hAnsi="Times New Roman"/>
          <w:sz w:val="22"/>
        </w:rPr>
        <w:t>Darübe</w:t>
      </w:r>
      <w:r>
        <w:rPr>
          <w:rFonts w:ascii="Times New Roman" w:hAnsi="Times New Roman"/>
          <w:sz w:val="22"/>
        </w:rPr>
        <w:t xml:space="preserve">r hinaus gibt es in Abhängigkeit der drei unterschiedlichen Themenfelder der Förderbekanntmachung spezifische Anforderungen, die nachfolgend dargestellt werden: </w:t>
      </w:r>
    </w:p>
    <w:p w:rsidR="00A43209" w:rsidRDefault="00A43209">
      <w:pPr>
        <w:pStyle w:val="Listenabsatz"/>
        <w:jc w:val="both"/>
        <w:rPr>
          <w:rFonts w:ascii="Times New Roman" w:hAnsi="Times New Roman"/>
          <w:sz w:val="22"/>
        </w:rPr>
      </w:pPr>
    </w:p>
    <w:p w:rsidR="00A43209" w:rsidRDefault="00E254A8">
      <w:pPr>
        <w:pStyle w:val="Listenabsatz"/>
        <w:numPr>
          <w:ilvl w:val="0"/>
          <w:numId w:val="37"/>
        </w:numPr>
        <w:ind w:left="426" w:hanging="426"/>
        <w:jc w:val="both"/>
        <w:rPr>
          <w:rFonts w:ascii="Times New Roman" w:hAnsi="Times New Roman"/>
          <w:sz w:val="22"/>
        </w:rPr>
      </w:pPr>
      <w:r>
        <w:rPr>
          <w:rFonts w:ascii="Times New Roman" w:hAnsi="Times New Roman"/>
          <w:sz w:val="22"/>
        </w:rPr>
        <w:t xml:space="preserve">Anträge zum </w:t>
      </w:r>
      <w:r>
        <w:rPr>
          <w:rFonts w:ascii="Times New Roman" w:hAnsi="Times New Roman"/>
          <w:b/>
          <w:sz w:val="22"/>
        </w:rPr>
        <w:t>Themenfeld 1</w:t>
      </w:r>
      <w:r>
        <w:rPr>
          <w:rFonts w:ascii="Times New Roman" w:hAnsi="Times New Roman"/>
          <w:sz w:val="22"/>
        </w:rPr>
        <w:t xml:space="preserve"> müssen folgende spezifischen Darstellungen enthalten:</w:t>
      </w:r>
    </w:p>
    <w:p w:rsidR="00A43209" w:rsidRDefault="00A43209">
      <w:pPr>
        <w:pStyle w:val="Listenabsatz"/>
        <w:ind w:left="993"/>
        <w:jc w:val="both"/>
        <w:rPr>
          <w:rFonts w:ascii="Times New Roman" w:hAnsi="Times New Roman"/>
          <w:sz w:val="22"/>
        </w:rPr>
      </w:pPr>
    </w:p>
    <w:p w:rsidR="00A43209" w:rsidRDefault="00E254A8">
      <w:pPr>
        <w:pStyle w:val="Listenabsatz"/>
        <w:numPr>
          <w:ilvl w:val="0"/>
          <w:numId w:val="33"/>
        </w:numPr>
        <w:jc w:val="both"/>
        <w:rPr>
          <w:rFonts w:ascii="Times New Roman" w:hAnsi="Times New Roman"/>
          <w:sz w:val="22"/>
        </w:rPr>
      </w:pPr>
      <w:r>
        <w:rPr>
          <w:rFonts w:ascii="Times New Roman" w:hAnsi="Times New Roman"/>
          <w:sz w:val="22"/>
        </w:rPr>
        <w:t xml:space="preserve">Nachweis der </w:t>
      </w:r>
      <w:r>
        <w:rPr>
          <w:rFonts w:ascii="Times New Roman" w:hAnsi="Times New Roman"/>
          <w:b/>
          <w:sz w:val="22"/>
        </w:rPr>
        <w:t>bedeutenden Stellung des Publikationsformats</w:t>
      </w:r>
      <w:r>
        <w:rPr>
          <w:rFonts w:ascii="Times New Roman" w:hAnsi="Times New Roman"/>
          <w:sz w:val="22"/>
        </w:rPr>
        <w:t xml:space="preserve"> innerhalb ihrer jeweiligen Fachdisziplin. Kriterien zur Beurteilung der bedeutenden Stellung können unter anderem die (potentielle) Sichtbarkeit des Formats, der relative Anteil an allen Publikationen einer Fach</w:t>
      </w:r>
      <w:r>
        <w:rPr>
          <w:rFonts w:ascii="Times New Roman" w:hAnsi="Times New Roman"/>
          <w:sz w:val="22"/>
        </w:rPr>
        <w:t xml:space="preserve">disziplin sowie deren Rezeption und Zitierung sein. </w:t>
      </w:r>
    </w:p>
    <w:p w:rsidR="00A43209" w:rsidRDefault="00E254A8">
      <w:pPr>
        <w:pStyle w:val="Listenabsatz"/>
        <w:numPr>
          <w:ilvl w:val="0"/>
          <w:numId w:val="33"/>
        </w:numPr>
        <w:jc w:val="both"/>
        <w:rPr>
          <w:rFonts w:ascii="Times New Roman" w:hAnsi="Times New Roman"/>
          <w:sz w:val="22"/>
        </w:rPr>
      </w:pPr>
      <w:r>
        <w:rPr>
          <w:rFonts w:ascii="Times New Roman" w:hAnsi="Times New Roman"/>
          <w:sz w:val="22"/>
        </w:rPr>
        <w:t xml:space="preserve">Angaben zur geplanten </w:t>
      </w:r>
      <w:r>
        <w:rPr>
          <w:rFonts w:ascii="Times New Roman" w:hAnsi="Times New Roman"/>
          <w:b/>
          <w:sz w:val="22"/>
        </w:rPr>
        <w:t>wissenschaftliche Qualitätssicherung</w:t>
      </w:r>
      <w:r>
        <w:rPr>
          <w:rFonts w:ascii="Times New Roman" w:hAnsi="Times New Roman"/>
          <w:sz w:val="22"/>
        </w:rPr>
        <w:t xml:space="preserve"> nach der Transformation.</w:t>
      </w:r>
    </w:p>
    <w:p w:rsidR="00A43209" w:rsidRDefault="00E254A8">
      <w:pPr>
        <w:pStyle w:val="Listenabsatz"/>
        <w:numPr>
          <w:ilvl w:val="0"/>
          <w:numId w:val="33"/>
        </w:numPr>
        <w:jc w:val="both"/>
        <w:rPr>
          <w:rFonts w:ascii="Times New Roman" w:hAnsi="Times New Roman"/>
          <w:sz w:val="22"/>
        </w:rPr>
      </w:pPr>
      <w:r>
        <w:rPr>
          <w:rFonts w:ascii="Times New Roman" w:hAnsi="Times New Roman"/>
          <w:sz w:val="22"/>
        </w:rPr>
        <w:t xml:space="preserve">Vorlage eines </w:t>
      </w:r>
      <w:r>
        <w:rPr>
          <w:rFonts w:ascii="Times New Roman" w:hAnsi="Times New Roman"/>
          <w:b/>
          <w:sz w:val="22"/>
        </w:rPr>
        <w:t>Transformationsplan</w:t>
      </w:r>
      <w:r>
        <w:rPr>
          <w:rFonts w:ascii="Times New Roman" w:hAnsi="Times New Roman"/>
          <w:sz w:val="22"/>
          <w:u w:val="double"/>
        </w:rPr>
        <w:t>s</w:t>
      </w:r>
      <w:r>
        <w:rPr>
          <w:rFonts w:ascii="Times New Roman" w:hAnsi="Times New Roman"/>
          <w:sz w:val="22"/>
        </w:rPr>
        <w:t xml:space="preserve"> mit folgenden Punkten: </w:t>
      </w:r>
    </w:p>
    <w:p w:rsidR="00A43209" w:rsidRDefault="00E254A8">
      <w:pPr>
        <w:pStyle w:val="Listenabsatz"/>
        <w:numPr>
          <w:ilvl w:val="1"/>
          <w:numId w:val="33"/>
        </w:numPr>
        <w:jc w:val="both"/>
        <w:rPr>
          <w:rFonts w:ascii="Times New Roman" w:hAnsi="Times New Roman"/>
          <w:sz w:val="22"/>
        </w:rPr>
      </w:pPr>
      <w:r>
        <w:rPr>
          <w:rFonts w:ascii="Times New Roman" w:hAnsi="Times New Roman"/>
          <w:sz w:val="22"/>
        </w:rPr>
        <w:t>Angaben zum gegenwärtigen Finanzierungsmodell der Publikatio</w:t>
      </w:r>
      <w:r>
        <w:rPr>
          <w:rFonts w:ascii="Times New Roman" w:hAnsi="Times New Roman"/>
          <w:sz w:val="22"/>
        </w:rPr>
        <w:t>n.</w:t>
      </w:r>
    </w:p>
    <w:p w:rsidR="00A43209" w:rsidRDefault="00E254A8">
      <w:pPr>
        <w:pStyle w:val="Listenabsatz"/>
        <w:numPr>
          <w:ilvl w:val="1"/>
          <w:numId w:val="33"/>
        </w:numPr>
        <w:jc w:val="both"/>
        <w:rPr>
          <w:rFonts w:ascii="Times New Roman" w:hAnsi="Times New Roman"/>
          <w:sz w:val="22"/>
        </w:rPr>
      </w:pPr>
      <w:r>
        <w:rPr>
          <w:rFonts w:ascii="Times New Roman" w:hAnsi="Times New Roman"/>
          <w:sz w:val="22"/>
        </w:rPr>
        <w:t>Angaben zur zukünftigen Finanzierung unter einem Open Access Modell</w:t>
      </w:r>
      <w:r>
        <w:rPr>
          <w:rFonts w:ascii="Times New Roman" w:hAnsi="Times New Roman"/>
          <w:sz w:val="22"/>
        </w:rPr>
        <w:t>.</w:t>
      </w:r>
    </w:p>
    <w:p w:rsidR="00A43209" w:rsidRDefault="00E254A8">
      <w:pPr>
        <w:pStyle w:val="Listenabsatz"/>
        <w:numPr>
          <w:ilvl w:val="1"/>
          <w:numId w:val="33"/>
        </w:numPr>
        <w:jc w:val="both"/>
        <w:rPr>
          <w:rFonts w:ascii="Times New Roman" w:hAnsi="Times New Roman"/>
          <w:sz w:val="22"/>
        </w:rPr>
      </w:pPr>
      <w:r>
        <w:rPr>
          <w:rFonts w:ascii="Times New Roman" w:hAnsi="Times New Roman"/>
          <w:sz w:val="22"/>
        </w:rPr>
        <w:t>Detaillierte Begründung des Förderbedarfs.</w:t>
      </w:r>
    </w:p>
    <w:p w:rsidR="00A43209" w:rsidRDefault="00E254A8">
      <w:pPr>
        <w:pStyle w:val="Listenabsatz"/>
        <w:numPr>
          <w:ilvl w:val="1"/>
          <w:numId w:val="33"/>
        </w:numPr>
        <w:jc w:val="both"/>
        <w:rPr>
          <w:rFonts w:ascii="Times New Roman" w:hAnsi="Times New Roman"/>
          <w:sz w:val="22"/>
        </w:rPr>
      </w:pPr>
      <w:r>
        <w:rPr>
          <w:rFonts w:ascii="Times New Roman" w:hAnsi="Times New Roman"/>
          <w:sz w:val="22"/>
        </w:rPr>
        <w:t>Belastbare Darstellung zum nachhaltigen Bestand der Transformation im Allgemeinen und zur Deckung des Finanzbedarfs nach dem Abschluss der Fö</w:t>
      </w:r>
      <w:r>
        <w:rPr>
          <w:rFonts w:ascii="Times New Roman" w:hAnsi="Times New Roman"/>
          <w:sz w:val="22"/>
        </w:rPr>
        <w:t>rderung im Speziellen.</w:t>
      </w:r>
    </w:p>
    <w:p w:rsidR="00A43209" w:rsidRDefault="00E254A8">
      <w:pPr>
        <w:pStyle w:val="Listenabsatz"/>
        <w:numPr>
          <w:ilvl w:val="1"/>
          <w:numId w:val="33"/>
        </w:numPr>
        <w:jc w:val="both"/>
        <w:rPr>
          <w:rFonts w:ascii="Times New Roman" w:hAnsi="Times New Roman"/>
          <w:sz w:val="22"/>
        </w:rPr>
      </w:pPr>
      <w:r>
        <w:rPr>
          <w:rFonts w:ascii="Times New Roman" w:hAnsi="Times New Roman"/>
          <w:sz w:val="22"/>
        </w:rPr>
        <w:t>Transparente und nachvollziehbare Darstellung der Preisgestaltung.</w:t>
      </w:r>
    </w:p>
    <w:p w:rsidR="00A43209" w:rsidRDefault="00E254A8">
      <w:pPr>
        <w:pStyle w:val="Listenabsatz"/>
        <w:numPr>
          <w:ilvl w:val="1"/>
          <w:numId w:val="33"/>
        </w:numPr>
        <w:jc w:val="both"/>
        <w:rPr>
          <w:rFonts w:ascii="Times New Roman" w:hAnsi="Times New Roman"/>
          <w:sz w:val="22"/>
        </w:rPr>
      </w:pPr>
      <w:r>
        <w:rPr>
          <w:rFonts w:ascii="Times New Roman" w:hAnsi="Times New Roman"/>
          <w:sz w:val="22"/>
        </w:rPr>
        <w:t>Angaben zur Höhe der voraussichtlichen Publikationskosten für die Autorinnen und Autoren.</w:t>
      </w:r>
    </w:p>
    <w:p w:rsidR="00A43209" w:rsidRDefault="00A43209">
      <w:pPr>
        <w:pStyle w:val="Listenabsatz"/>
        <w:ind w:left="1440"/>
        <w:jc w:val="both"/>
        <w:rPr>
          <w:rFonts w:ascii="Times New Roman" w:hAnsi="Times New Roman"/>
          <w:sz w:val="22"/>
        </w:rPr>
      </w:pPr>
    </w:p>
    <w:p w:rsidR="00A43209" w:rsidRDefault="00E254A8">
      <w:pPr>
        <w:ind w:left="360"/>
        <w:jc w:val="both"/>
        <w:rPr>
          <w:rFonts w:ascii="Times New Roman" w:hAnsi="Times New Roman"/>
          <w:sz w:val="22"/>
        </w:rPr>
      </w:pPr>
      <w:r>
        <w:rPr>
          <w:rFonts w:ascii="Times New Roman" w:hAnsi="Times New Roman"/>
          <w:sz w:val="22"/>
        </w:rPr>
        <w:t>Hinweis: In den Anträgen unter Themenfeld 1 können generelle Kommunikations</w:t>
      </w:r>
      <w:r>
        <w:rPr>
          <w:rFonts w:ascii="Times New Roman" w:hAnsi="Times New Roman"/>
          <w:sz w:val="22"/>
        </w:rPr>
        <w:t>maßnahmen vorgesehen werden, zum Beispiel Kommunikationskonzepte. Ausgaben/Kosten für Marketing und Werbemaßnahmen sind dagegen nicht förderfähig.</w:t>
      </w:r>
    </w:p>
    <w:p w:rsidR="00A43209" w:rsidRDefault="00A43209">
      <w:pPr>
        <w:pStyle w:val="Listenabsatz"/>
        <w:ind w:left="1440"/>
        <w:jc w:val="both"/>
        <w:rPr>
          <w:rFonts w:ascii="Times New Roman" w:hAnsi="Times New Roman"/>
          <w:sz w:val="22"/>
        </w:rPr>
      </w:pPr>
    </w:p>
    <w:p w:rsidR="00A43209" w:rsidRDefault="00E254A8">
      <w:pPr>
        <w:pStyle w:val="Listenabsatz"/>
        <w:numPr>
          <w:ilvl w:val="0"/>
          <w:numId w:val="37"/>
        </w:numPr>
        <w:ind w:left="426" w:hanging="426"/>
        <w:jc w:val="both"/>
        <w:rPr>
          <w:rFonts w:ascii="Times New Roman" w:hAnsi="Times New Roman"/>
          <w:sz w:val="22"/>
        </w:rPr>
      </w:pPr>
      <w:r>
        <w:rPr>
          <w:rFonts w:ascii="Times New Roman" w:hAnsi="Times New Roman"/>
          <w:sz w:val="22"/>
        </w:rPr>
        <w:t xml:space="preserve">Anträge zum </w:t>
      </w:r>
      <w:r>
        <w:rPr>
          <w:rFonts w:ascii="Times New Roman" w:hAnsi="Times New Roman"/>
          <w:b/>
          <w:sz w:val="22"/>
        </w:rPr>
        <w:t>Themenfeld 2</w:t>
      </w:r>
      <w:r>
        <w:rPr>
          <w:rFonts w:ascii="Times New Roman" w:hAnsi="Times New Roman"/>
          <w:sz w:val="22"/>
        </w:rPr>
        <w:t xml:space="preserve"> müssen folgende spezifische Darstellungen enthalten:</w:t>
      </w:r>
    </w:p>
    <w:p w:rsidR="00A43209" w:rsidRDefault="00A43209">
      <w:pPr>
        <w:pStyle w:val="Listenabsatz"/>
        <w:ind w:left="993"/>
        <w:jc w:val="both"/>
        <w:rPr>
          <w:rFonts w:ascii="Times New Roman" w:hAnsi="Times New Roman"/>
          <w:sz w:val="22"/>
        </w:rPr>
      </w:pPr>
    </w:p>
    <w:p w:rsidR="00A43209" w:rsidRDefault="00E254A8">
      <w:pPr>
        <w:pStyle w:val="Listenabsatz"/>
        <w:numPr>
          <w:ilvl w:val="0"/>
          <w:numId w:val="33"/>
        </w:numPr>
        <w:ind w:left="851" w:hanging="425"/>
        <w:jc w:val="both"/>
        <w:rPr>
          <w:rFonts w:ascii="Times New Roman" w:hAnsi="Times New Roman"/>
          <w:sz w:val="22"/>
        </w:rPr>
      </w:pPr>
      <w:r>
        <w:rPr>
          <w:rFonts w:ascii="Times New Roman" w:hAnsi="Times New Roman"/>
          <w:sz w:val="22"/>
        </w:rPr>
        <w:t xml:space="preserve">Belastbare Darstellung, in </w:t>
      </w:r>
      <w:r>
        <w:rPr>
          <w:rFonts w:ascii="Times New Roman" w:hAnsi="Times New Roman"/>
          <w:sz w:val="22"/>
        </w:rPr>
        <w:t>welcher Weise die Ergebnisse als Best-Practices dienen und skaliert werden können.</w:t>
      </w:r>
    </w:p>
    <w:p w:rsidR="00A43209" w:rsidRDefault="00E254A8">
      <w:pPr>
        <w:pStyle w:val="Listenabsatz"/>
        <w:numPr>
          <w:ilvl w:val="0"/>
          <w:numId w:val="33"/>
        </w:numPr>
        <w:ind w:left="851" w:hanging="425"/>
        <w:jc w:val="both"/>
        <w:rPr>
          <w:rFonts w:ascii="Times New Roman" w:hAnsi="Times New Roman"/>
          <w:sz w:val="22"/>
        </w:rPr>
      </w:pPr>
      <w:r>
        <w:rPr>
          <w:rFonts w:ascii="Times New Roman" w:hAnsi="Times New Roman"/>
          <w:sz w:val="22"/>
        </w:rPr>
        <w:t>Angaben zu der offenen Lizenz, unter der die Ergebnisse spätestens nach Abschluss der Förderung bereitgestellt werden.</w:t>
      </w:r>
    </w:p>
    <w:p w:rsidR="00A43209" w:rsidRDefault="00A43209">
      <w:pPr>
        <w:ind w:left="426"/>
        <w:jc w:val="both"/>
        <w:rPr>
          <w:rFonts w:ascii="Times New Roman" w:hAnsi="Times New Roman"/>
          <w:sz w:val="22"/>
        </w:rPr>
      </w:pPr>
    </w:p>
    <w:p w:rsidR="00A43209" w:rsidRDefault="00E254A8">
      <w:pPr>
        <w:pStyle w:val="Listenabsatz"/>
        <w:numPr>
          <w:ilvl w:val="0"/>
          <w:numId w:val="37"/>
        </w:numPr>
        <w:ind w:left="426" w:hanging="426"/>
        <w:jc w:val="both"/>
        <w:rPr>
          <w:rFonts w:ascii="Times New Roman" w:hAnsi="Times New Roman"/>
          <w:sz w:val="22"/>
        </w:rPr>
      </w:pPr>
      <w:r>
        <w:rPr>
          <w:rFonts w:ascii="Times New Roman" w:hAnsi="Times New Roman"/>
          <w:sz w:val="22"/>
        </w:rPr>
        <w:t xml:space="preserve">Anträge zum </w:t>
      </w:r>
      <w:r>
        <w:rPr>
          <w:rFonts w:ascii="Times New Roman" w:hAnsi="Times New Roman"/>
          <w:b/>
          <w:sz w:val="22"/>
        </w:rPr>
        <w:t>Themenfeld 3</w:t>
      </w:r>
      <w:r>
        <w:rPr>
          <w:rFonts w:ascii="Times New Roman" w:hAnsi="Times New Roman"/>
          <w:sz w:val="22"/>
        </w:rPr>
        <w:t xml:space="preserve"> müssen folgende spezifische </w:t>
      </w:r>
      <w:r>
        <w:rPr>
          <w:rFonts w:ascii="Times New Roman" w:hAnsi="Times New Roman"/>
          <w:sz w:val="22"/>
        </w:rPr>
        <w:t>Darstellungen enthalten:</w:t>
      </w:r>
    </w:p>
    <w:p w:rsidR="00A43209" w:rsidRDefault="00A43209">
      <w:pPr>
        <w:ind w:left="426"/>
        <w:jc w:val="both"/>
        <w:rPr>
          <w:rFonts w:ascii="Times New Roman" w:hAnsi="Times New Roman"/>
          <w:sz w:val="22"/>
        </w:rPr>
      </w:pPr>
    </w:p>
    <w:p w:rsidR="00A43209" w:rsidRDefault="00E254A8">
      <w:pPr>
        <w:pStyle w:val="Listenabsatz"/>
        <w:numPr>
          <w:ilvl w:val="0"/>
          <w:numId w:val="33"/>
        </w:numPr>
        <w:jc w:val="both"/>
        <w:rPr>
          <w:rFonts w:ascii="Times New Roman" w:hAnsi="Times New Roman"/>
          <w:sz w:val="22"/>
        </w:rPr>
      </w:pPr>
      <w:r>
        <w:rPr>
          <w:rFonts w:ascii="Times New Roman" w:hAnsi="Times New Roman"/>
          <w:sz w:val="22"/>
        </w:rPr>
        <w:t>Plausible Darstellung, wie die Ergebnisse des Vorhabens einen nachhaltigen Mehrwert für das gesamte Open-Access-Ökosystem bieten.</w:t>
      </w:r>
    </w:p>
    <w:p w:rsidR="00A43209" w:rsidRDefault="00E254A8">
      <w:pPr>
        <w:pStyle w:val="Listenabsatz"/>
        <w:numPr>
          <w:ilvl w:val="0"/>
          <w:numId w:val="33"/>
        </w:numPr>
        <w:jc w:val="both"/>
        <w:rPr>
          <w:rFonts w:ascii="Times New Roman" w:hAnsi="Times New Roman"/>
          <w:sz w:val="22"/>
        </w:rPr>
      </w:pPr>
      <w:r>
        <w:rPr>
          <w:rFonts w:ascii="Times New Roman" w:hAnsi="Times New Roman"/>
          <w:sz w:val="22"/>
        </w:rPr>
        <w:t>Belastbare Begründung, wie durch das Vorhaben die Verfügbarkeit von qualitätsgesicherten Open Access</w:t>
      </w:r>
      <w:r>
        <w:rPr>
          <w:rFonts w:ascii="Times New Roman" w:hAnsi="Times New Roman"/>
          <w:sz w:val="22"/>
        </w:rPr>
        <w:t xml:space="preserve"> Publikationen gesteigert werden kann.</w:t>
      </w:r>
    </w:p>
    <w:p w:rsidR="00A43209" w:rsidRDefault="00A43209">
      <w:pPr>
        <w:pStyle w:val="Listenabsatz"/>
        <w:jc w:val="both"/>
        <w:rPr>
          <w:rFonts w:ascii="Times New Roman" w:hAnsi="Times New Roman"/>
          <w:sz w:val="22"/>
        </w:rPr>
      </w:pPr>
    </w:p>
    <w:p w:rsidR="00A43209" w:rsidRDefault="00A43209">
      <w:pPr>
        <w:jc w:val="both"/>
        <w:rPr>
          <w:rFonts w:ascii="Times New Roman" w:hAnsi="Times New Roman"/>
          <w:sz w:val="22"/>
        </w:rPr>
      </w:pPr>
    </w:p>
    <w:p w:rsidR="00A43209" w:rsidRDefault="00E254A8">
      <w:pPr>
        <w:jc w:val="both"/>
        <w:rPr>
          <w:rFonts w:ascii="Times New Roman" w:hAnsi="Times New Roman"/>
          <w:b/>
          <w:color w:val="7030A0"/>
          <w:sz w:val="24"/>
          <w:szCs w:val="24"/>
        </w:rPr>
      </w:pPr>
      <w:r>
        <w:rPr>
          <w:rFonts w:ascii="Times New Roman" w:hAnsi="Times New Roman"/>
          <w:b/>
          <w:color w:val="7030A0"/>
          <w:sz w:val="24"/>
          <w:szCs w:val="24"/>
        </w:rPr>
        <w:t>Kalkulation der Ausgaben/Kosten – Was wird gefördert?</w:t>
      </w:r>
    </w:p>
    <w:p w:rsidR="00A43209" w:rsidRDefault="00A43209">
      <w:pPr>
        <w:jc w:val="both"/>
        <w:rPr>
          <w:rFonts w:ascii="Times New Roman" w:hAnsi="Times New Roman"/>
          <w:sz w:val="22"/>
          <w:szCs w:val="22"/>
          <w:u w:val="single"/>
        </w:rPr>
      </w:pPr>
    </w:p>
    <w:p w:rsidR="00A43209" w:rsidRDefault="00E254A8">
      <w:pPr>
        <w:pStyle w:val="Listenabsatz"/>
        <w:numPr>
          <w:ilvl w:val="0"/>
          <w:numId w:val="37"/>
        </w:numPr>
        <w:ind w:left="426" w:hanging="426"/>
        <w:jc w:val="both"/>
        <w:rPr>
          <w:rFonts w:ascii="Times New Roman" w:hAnsi="Times New Roman"/>
          <w:sz w:val="22"/>
        </w:rPr>
      </w:pPr>
      <w:r>
        <w:rPr>
          <w:rFonts w:ascii="Times New Roman" w:hAnsi="Times New Roman"/>
          <w:sz w:val="22"/>
        </w:rPr>
        <w:t xml:space="preserve">Förderfähig sind folgende Ausgaben bzw. Kosten, sofern sie einen </w:t>
      </w:r>
      <w:r>
        <w:rPr>
          <w:rFonts w:ascii="Times New Roman" w:hAnsi="Times New Roman"/>
          <w:b/>
          <w:sz w:val="22"/>
        </w:rPr>
        <w:t>eindeutigen Projektbezug</w:t>
      </w:r>
      <w:r>
        <w:rPr>
          <w:rFonts w:ascii="Times New Roman" w:hAnsi="Times New Roman"/>
          <w:sz w:val="22"/>
        </w:rPr>
        <w:t xml:space="preserve"> aufweisen: </w:t>
      </w:r>
    </w:p>
    <w:p w:rsidR="00A43209" w:rsidRDefault="00A43209">
      <w:pPr>
        <w:pStyle w:val="Listenabsatz"/>
        <w:ind w:left="426"/>
        <w:jc w:val="both"/>
        <w:rPr>
          <w:rFonts w:ascii="Times New Roman" w:hAnsi="Times New Roman"/>
          <w:sz w:val="22"/>
        </w:rPr>
      </w:pPr>
    </w:p>
    <w:p w:rsidR="00A43209" w:rsidRDefault="00E254A8">
      <w:pPr>
        <w:pStyle w:val="Listenabsatz"/>
        <w:numPr>
          <w:ilvl w:val="0"/>
          <w:numId w:val="34"/>
        </w:numPr>
        <w:jc w:val="both"/>
        <w:rPr>
          <w:rFonts w:ascii="Times New Roman" w:hAnsi="Times New Roman"/>
          <w:sz w:val="22"/>
        </w:rPr>
      </w:pPr>
      <w:r>
        <w:rPr>
          <w:rFonts w:ascii="Times New Roman" w:hAnsi="Times New Roman"/>
          <w:sz w:val="22"/>
        </w:rPr>
        <w:t xml:space="preserve">Personalausgaben bzw. –kosten, </w:t>
      </w:r>
    </w:p>
    <w:p w:rsidR="00A43209" w:rsidRDefault="00E254A8">
      <w:pPr>
        <w:pStyle w:val="Listenabsatz"/>
        <w:numPr>
          <w:ilvl w:val="0"/>
          <w:numId w:val="34"/>
        </w:numPr>
        <w:jc w:val="both"/>
        <w:rPr>
          <w:rFonts w:ascii="Times New Roman" w:hAnsi="Times New Roman"/>
          <w:sz w:val="22"/>
        </w:rPr>
      </w:pPr>
      <w:r>
        <w:rPr>
          <w:rFonts w:ascii="Times New Roman" w:hAnsi="Times New Roman"/>
          <w:sz w:val="22"/>
        </w:rPr>
        <w:t xml:space="preserve">Sachausgaben bzw. –kosten, </w:t>
      </w:r>
    </w:p>
    <w:p w:rsidR="00A43209" w:rsidRDefault="00E254A8">
      <w:pPr>
        <w:pStyle w:val="Listenabsatz"/>
        <w:numPr>
          <w:ilvl w:val="0"/>
          <w:numId w:val="34"/>
        </w:numPr>
        <w:jc w:val="both"/>
        <w:rPr>
          <w:rFonts w:ascii="Times New Roman" w:hAnsi="Times New Roman"/>
          <w:sz w:val="22"/>
        </w:rPr>
      </w:pPr>
      <w:r>
        <w:rPr>
          <w:rFonts w:ascii="Times New Roman" w:hAnsi="Times New Roman"/>
          <w:sz w:val="22"/>
        </w:rPr>
        <w:t>Reiseausgaben bzw. –kosten *),</w:t>
      </w:r>
    </w:p>
    <w:p w:rsidR="00A43209" w:rsidRDefault="00E254A8">
      <w:pPr>
        <w:pStyle w:val="Listenabsatz"/>
        <w:numPr>
          <w:ilvl w:val="0"/>
          <w:numId w:val="34"/>
        </w:numPr>
        <w:jc w:val="both"/>
        <w:rPr>
          <w:rFonts w:ascii="Times New Roman" w:hAnsi="Times New Roman"/>
          <w:sz w:val="22"/>
        </w:rPr>
      </w:pPr>
      <w:r>
        <w:rPr>
          <w:rFonts w:ascii="Times New Roman" w:hAnsi="Times New Roman"/>
          <w:sz w:val="22"/>
        </w:rPr>
        <w:t>Ausgaben bzw. Kosten für projektbezogene Aufträge (die Vergaben müssen vom Zuwendungsempfänger</w:t>
      </w:r>
      <w:r>
        <w:rPr>
          <w:rFonts w:ascii="Times New Roman" w:hAnsi="Times New Roman"/>
          <w:sz w:val="22"/>
        </w:rPr>
        <w:t>/von der Zuwendungsempfängerin</w:t>
      </w:r>
      <w:r>
        <w:rPr>
          <w:rFonts w:ascii="Times New Roman" w:hAnsi="Times New Roman"/>
          <w:sz w:val="22"/>
        </w:rPr>
        <w:t xml:space="preserve"> gemäß den geltenden vergaberechtlichen Bestimmungen vorgenommen werden)</w:t>
      </w:r>
      <w:r>
        <w:rPr>
          <w:rFonts w:ascii="Times New Roman" w:hAnsi="Times New Roman"/>
          <w:sz w:val="22"/>
        </w:rPr>
        <w:t>.</w:t>
      </w:r>
    </w:p>
    <w:p w:rsidR="00A43209" w:rsidRDefault="00A43209">
      <w:pPr>
        <w:jc w:val="both"/>
        <w:rPr>
          <w:rFonts w:ascii="Times New Roman" w:hAnsi="Times New Roman"/>
          <w:sz w:val="22"/>
        </w:rPr>
      </w:pPr>
    </w:p>
    <w:p w:rsidR="00A43209" w:rsidRDefault="00E254A8">
      <w:pPr>
        <w:pStyle w:val="Listenabsatz"/>
        <w:numPr>
          <w:ilvl w:val="0"/>
          <w:numId w:val="37"/>
        </w:numPr>
        <w:ind w:left="426" w:hanging="426"/>
        <w:jc w:val="both"/>
        <w:rPr>
          <w:rFonts w:ascii="Times New Roman" w:hAnsi="Times New Roman"/>
          <w:sz w:val="22"/>
        </w:rPr>
      </w:pPr>
      <w:r>
        <w:rPr>
          <w:rFonts w:ascii="Times New Roman" w:hAnsi="Times New Roman"/>
          <w:sz w:val="22"/>
        </w:rPr>
        <w:t>Folgende Einschränkungen und Hinweise bei der Förderung sind zu beachten:</w:t>
      </w:r>
    </w:p>
    <w:p w:rsidR="00A43209" w:rsidRDefault="00A43209">
      <w:pPr>
        <w:pStyle w:val="Listenabsatz"/>
        <w:ind w:left="426"/>
        <w:jc w:val="both"/>
        <w:rPr>
          <w:rFonts w:ascii="Times New Roman" w:hAnsi="Times New Roman"/>
          <w:sz w:val="22"/>
        </w:rPr>
      </w:pPr>
    </w:p>
    <w:p w:rsidR="00A43209" w:rsidRDefault="00E254A8">
      <w:pPr>
        <w:pStyle w:val="Listenabsatz"/>
        <w:numPr>
          <w:ilvl w:val="0"/>
          <w:numId w:val="35"/>
        </w:numPr>
        <w:jc w:val="both"/>
        <w:rPr>
          <w:rFonts w:ascii="Times New Roman" w:hAnsi="Times New Roman"/>
          <w:sz w:val="22"/>
        </w:rPr>
      </w:pPr>
      <w:r>
        <w:rPr>
          <w:rFonts w:ascii="Times New Roman" w:hAnsi="Times New Roman"/>
          <w:sz w:val="22"/>
        </w:rPr>
        <w:t xml:space="preserve">Alle Aufwände müssen klar beschrieben und begründet sein, und sie müssen sich eindeutig aus dem Arbeitsprogramm ableiten lassen. </w:t>
      </w:r>
    </w:p>
    <w:p w:rsidR="00A43209" w:rsidRDefault="00E254A8">
      <w:pPr>
        <w:pStyle w:val="Listenabsatz"/>
        <w:numPr>
          <w:ilvl w:val="0"/>
          <w:numId w:val="35"/>
        </w:numPr>
        <w:jc w:val="both"/>
        <w:rPr>
          <w:rFonts w:ascii="Times New Roman" w:hAnsi="Times New Roman"/>
          <w:sz w:val="22"/>
        </w:rPr>
      </w:pPr>
      <w:r>
        <w:rPr>
          <w:rFonts w:ascii="Times New Roman" w:hAnsi="Times New Roman"/>
          <w:sz w:val="22"/>
        </w:rPr>
        <w:lastRenderedPageBreak/>
        <w:t xml:space="preserve">Bei Verbundprojekten sind alle Aufwände der </w:t>
      </w:r>
      <w:r>
        <w:rPr>
          <w:rFonts w:ascii="Times New Roman" w:hAnsi="Times New Roman"/>
          <w:sz w:val="22"/>
        </w:rPr>
        <w:t>einzelnen Verbundpartner</w:t>
      </w:r>
      <w:r>
        <w:rPr>
          <w:rFonts w:ascii="Times New Roman" w:hAnsi="Times New Roman"/>
          <w:sz w:val="22"/>
        </w:rPr>
        <w:t>/-innen</w:t>
      </w:r>
      <w:r>
        <w:rPr>
          <w:rFonts w:ascii="Times New Roman" w:hAnsi="Times New Roman"/>
          <w:sz w:val="22"/>
        </w:rPr>
        <w:t xml:space="preserve"> voneinander abzugrenzen. </w:t>
      </w:r>
    </w:p>
    <w:p w:rsidR="00A43209" w:rsidRDefault="00E254A8">
      <w:pPr>
        <w:pStyle w:val="Listenabsatz"/>
        <w:numPr>
          <w:ilvl w:val="0"/>
          <w:numId w:val="35"/>
        </w:numPr>
        <w:jc w:val="both"/>
        <w:rPr>
          <w:rFonts w:ascii="Times New Roman" w:hAnsi="Times New Roman"/>
          <w:sz w:val="22"/>
        </w:rPr>
      </w:pPr>
      <w:r>
        <w:rPr>
          <w:rFonts w:ascii="Times New Roman" w:hAnsi="Times New Roman"/>
          <w:sz w:val="22"/>
        </w:rPr>
        <w:t>Grundsätzlich sind alle Ausgaben- bzw. Kostenansätze in den einzelnen Positionen so genau wie möglich zu kalkulieren und in den Antragsunterlagen aufzugliedern.</w:t>
      </w:r>
    </w:p>
    <w:p w:rsidR="00A43209" w:rsidRDefault="00E254A8">
      <w:pPr>
        <w:pStyle w:val="Listenabsatz"/>
        <w:numPr>
          <w:ilvl w:val="0"/>
          <w:numId w:val="35"/>
        </w:numPr>
        <w:jc w:val="both"/>
        <w:rPr>
          <w:rFonts w:ascii="Times New Roman" w:hAnsi="Times New Roman"/>
          <w:sz w:val="22"/>
        </w:rPr>
      </w:pPr>
      <w:r>
        <w:rPr>
          <w:rFonts w:ascii="Times New Roman" w:hAnsi="Times New Roman"/>
          <w:sz w:val="22"/>
        </w:rPr>
        <w:t>Fiktive Bestandteile des Gehaltes sin</w:t>
      </w:r>
      <w:r>
        <w:rPr>
          <w:rFonts w:ascii="Times New Roman" w:hAnsi="Times New Roman"/>
          <w:sz w:val="22"/>
        </w:rPr>
        <w:t xml:space="preserve">d nicht zuwendungsfähig, beispielsweise pauschal angenommene jährliche Gehaltssteigerungen. Jedoch sind tarifliche Stufensteigerungen und die zum Zeitpunkt der Antragstellung bereits beschlossenen Tariferhöhungen zuwendungsfähig. </w:t>
      </w:r>
    </w:p>
    <w:p w:rsidR="00A43209" w:rsidRDefault="00E254A8">
      <w:pPr>
        <w:pStyle w:val="Listenabsatz"/>
        <w:numPr>
          <w:ilvl w:val="0"/>
          <w:numId w:val="35"/>
        </w:numPr>
        <w:jc w:val="both"/>
        <w:rPr>
          <w:rFonts w:ascii="Times New Roman" w:hAnsi="Times New Roman"/>
          <w:sz w:val="22"/>
        </w:rPr>
      </w:pPr>
      <w:r>
        <w:rPr>
          <w:rFonts w:ascii="Times New Roman" w:hAnsi="Times New Roman"/>
          <w:sz w:val="22"/>
        </w:rPr>
        <w:t>Sofern die geplanten Mita</w:t>
      </w:r>
      <w:r>
        <w:rPr>
          <w:rFonts w:ascii="Times New Roman" w:hAnsi="Times New Roman"/>
          <w:sz w:val="22"/>
        </w:rPr>
        <w:t xml:space="preserve">rbeiter/-innen zum Zeitpunkt der Antragstellung bereits bekannt sind, sind die voraussichtlich entstehenden Personalausgaben zu errechnen. Zusätzlich ist deren Qualifikation zu beschreiben. </w:t>
      </w:r>
    </w:p>
    <w:p w:rsidR="00A43209" w:rsidRDefault="00E254A8">
      <w:pPr>
        <w:pStyle w:val="Listenabsatz"/>
        <w:numPr>
          <w:ilvl w:val="0"/>
          <w:numId w:val="35"/>
        </w:numPr>
        <w:jc w:val="both"/>
        <w:rPr>
          <w:rFonts w:ascii="Times New Roman" w:hAnsi="Times New Roman"/>
          <w:sz w:val="22"/>
        </w:rPr>
      </w:pPr>
      <w:r>
        <w:rPr>
          <w:rFonts w:ascii="Times New Roman" w:hAnsi="Times New Roman"/>
          <w:sz w:val="22"/>
        </w:rPr>
        <w:t xml:space="preserve">Sind die geplanten Mitarbeiter/-innen noch nicht bekannt, dürfen </w:t>
      </w:r>
      <w:r>
        <w:rPr>
          <w:rFonts w:ascii="Times New Roman" w:hAnsi="Times New Roman"/>
          <w:sz w:val="22"/>
        </w:rPr>
        <w:t xml:space="preserve">höchstens die vom BMBF festgesetzten Personalausgaben ausgewiesen werden (TVöD bzw. TV-L E 13, Stufe 2). Zusätzlich sind die notwendigen Qualifikationsprofile zu beschreiben. </w:t>
      </w:r>
    </w:p>
    <w:p w:rsidR="00A43209" w:rsidRDefault="00E254A8">
      <w:pPr>
        <w:pStyle w:val="Listenabsatz"/>
        <w:numPr>
          <w:ilvl w:val="0"/>
          <w:numId w:val="35"/>
        </w:numPr>
        <w:jc w:val="both"/>
        <w:rPr>
          <w:rFonts w:ascii="Times New Roman" w:hAnsi="Times New Roman"/>
          <w:sz w:val="22"/>
        </w:rPr>
      </w:pPr>
      <w:r>
        <w:rPr>
          <w:rFonts w:ascii="Times New Roman" w:hAnsi="Times New Roman"/>
          <w:sz w:val="22"/>
        </w:rPr>
        <w:t>Antragstellende, deren Gesamtausgaben überwiegend aus Zuwendungen der öffentlich</w:t>
      </w:r>
      <w:r>
        <w:rPr>
          <w:rFonts w:ascii="Times New Roman" w:hAnsi="Times New Roman"/>
          <w:sz w:val="22"/>
        </w:rPr>
        <w:t xml:space="preserve">en Hand finanziert werden, dürfen die im Rahmen dieses Vorhabens Beschäftigten finanziell nicht besserstellen als vergleichbare Bundesbedienstete. Dies gilt auch für Personalnebenausgaben. Das Besserstellungsverbot darf auch nicht dadurch umgangen werden, </w:t>
      </w:r>
      <w:r>
        <w:rPr>
          <w:rFonts w:ascii="Times New Roman" w:hAnsi="Times New Roman"/>
          <w:sz w:val="22"/>
        </w:rPr>
        <w:t>dass nicht zuwendungsfähige Ausgaben durch Dritte finanziert werden.</w:t>
      </w:r>
    </w:p>
    <w:p w:rsidR="00A43209" w:rsidRDefault="00E254A8">
      <w:pPr>
        <w:pStyle w:val="Listenabsatz"/>
        <w:numPr>
          <w:ilvl w:val="0"/>
          <w:numId w:val="35"/>
        </w:numPr>
        <w:jc w:val="both"/>
        <w:rPr>
          <w:rFonts w:ascii="Times New Roman" w:hAnsi="Times New Roman"/>
          <w:sz w:val="22"/>
        </w:rPr>
      </w:pPr>
      <w:r>
        <w:rPr>
          <w:rFonts w:ascii="Times New Roman" w:hAnsi="Times New Roman"/>
          <w:sz w:val="22"/>
        </w:rPr>
        <w:t>Ausgaben für Honorare an hauptberufliche Mitarbeiter/-innen des Stammpersonals sind grundsätzlich nicht zuwendungsfähig.</w:t>
      </w:r>
    </w:p>
    <w:p w:rsidR="00A43209" w:rsidRDefault="00E254A8">
      <w:pPr>
        <w:pStyle w:val="Listenabsatz"/>
        <w:numPr>
          <w:ilvl w:val="0"/>
          <w:numId w:val="35"/>
        </w:numPr>
        <w:jc w:val="both"/>
        <w:rPr>
          <w:rFonts w:ascii="Times New Roman" w:hAnsi="Times New Roman"/>
          <w:sz w:val="22"/>
        </w:rPr>
      </w:pPr>
      <w:r>
        <w:rPr>
          <w:rFonts w:ascii="Times New Roman" w:hAnsi="Times New Roman"/>
          <w:sz w:val="22"/>
        </w:rPr>
        <w:t>Interne Verrechnungen bei Vorhaben auf Ausgabenbasis, insbesondere</w:t>
      </w:r>
      <w:r>
        <w:rPr>
          <w:rFonts w:ascii="Times New Roman" w:hAnsi="Times New Roman"/>
          <w:sz w:val="22"/>
        </w:rPr>
        <w:t xml:space="preserve"> bei Hochschulen, sind nur unter bestimmten Voraussetzungen zuwendungsfähig.</w:t>
      </w:r>
    </w:p>
    <w:p w:rsidR="00A43209" w:rsidRDefault="00E254A8">
      <w:pPr>
        <w:pStyle w:val="Listenabsatz"/>
        <w:numPr>
          <w:ilvl w:val="0"/>
          <w:numId w:val="35"/>
        </w:numPr>
        <w:jc w:val="both"/>
        <w:rPr>
          <w:rFonts w:ascii="Times New Roman" w:hAnsi="Times New Roman"/>
          <w:sz w:val="22"/>
        </w:rPr>
      </w:pPr>
      <w:r>
        <w:rPr>
          <w:rFonts w:ascii="Times New Roman" w:hAnsi="Times New Roman"/>
          <w:sz w:val="22"/>
        </w:rPr>
        <w:t>Bei allen Aufträgen ist plausibel zu begründen, warum die Tätigkeiten nicht selbst durchgeführt werden können. Die kalkulierten Ansätze sind bestmöglich zu plausibilisieren, beisp</w:t>
      </w:r>
      <w:r>
        <w:rPr>
          <w:rFonts w:ascii="Times New Roman" w:hAnsi="Times New Roman"/>
          <w:sz w:val="22"/>
        </w:rPr>
        <w:t xml:space="preserve">ielsweise durch die Vorlage einer nachvollziehbaren Kalkulation. Eine Angebotseinholung zur Markterkundung ist unzulässig. </w:t>
      </w:r>
    </w:p>
    <w:p w:rsidR="00A43209" w:rsidRDefault="00E254A8">
      <w:pPr>
        <w:pStyle w:val="Listenabsatz"/>
        <w:numPr>
          <w:ilvl w:val="0"/>
          <w:numId w:val="35"/>
        </w:numPr>
        <w:jc w:val="both"/>
        <w:rPr>
          <w:rFonts w:ascii="Times New Roman" w:hAnsi="Times New Roman"/>
          <w:sz w:val="22"/>
        </w:rPr>
      </w:pPr>
      <w:r>
        <w:rPr>
          <w:rFonts w:ascii="Times New Roman" w:hAnsi="Times New Roman"/>
          <w:sz w:val="22"/>
        </w:rPr>
        <w:t>Der Anteil der Aufträge an der Gesamtsumme des Vorhabens darf 50 % nicht überschreiten.</w:t>
      </w:r>
    </w:p>
    <w:p w:rsidR="00A43209" w:rsidRDefault="00E254A8">
      <w:pPr>
        <w:pStyle w:val="Listenabsatz"/>
        <w:numPr>
          <w:ilvl w:val="0"/>
          <w:numId w:val="35"/>
        </w:numPr>
        <w:jc w:val="both"/>
        <w:rPr>
          <w:rFonts w:ascii="Times New Roman" w:hAnsi="Times New Roman"/>
          <w:sz w:val="22"/>
        </w:rPr>
      </w:pPr>
      <w:r>
        <w:rPr>
          <w:rFonts w:ascii="Times New Roman" w:hAnsi="Times New Roman"/>
          <w:sz w:val="22"/>
        </w:rPr>
        <w:t>Ausgaben zur Deckung des grundfinanzierten P</w:t>
      </w:r>
      <w:r>
        <w:rPr>
          <w:rFonts w:ascii="Times New Roman" w:hAnsi="Times New Roman"/>
          <w:sz w:val="22"/>
        </w:rPr>
        <w:t>ersonals (Stammpersonal) und der Grundausstattung sind nicht förderfähig. Zur Grundausstattung gehören beispielsweise Möbel, PCs und vergleichbare betriebs- und institutsübliche Gegenstände.</w:t>
      </w:r>
    </w:p>
    <w:p w:rsidR="00A43209" w:rsidRDefault="00A43209">
      <w:pPr>
        <w:jc w:val="both"/>
        <w:rPr>
          <w:rFonts w:ascii="Times New Roman" w:hAnsi="Times New Roman"/>
          <w:sz w:val="22"/>
          <w:u w:val="single"/>
        </w:rPr>
      </w:pPr>
    </w:p>
    <w:p w:rsidR="00A43209" w:rsidRDefault="00A43209">
      <w:pPr>
        <w:jc w:val="both"/>
        <w:rPr>
          <w:rFonts w:ascii="Times New Roman" w:hAnsi="Times New Roman"/>
          <w:sz w:val="22"/>
        </w:rPr>
      </w:pPr>
    </w:p>
    <w:p w:rsidR="00A43209" w:rsidRDefault="00E254A8">
      <w:pPr>
        <w:jc w:val="both"/>
        <w:rPr>
          <w:rFonts w:ascii="Times New Roman" w:hAnsi="Times New Roman"/>
          <w:b/>
          <w:color w:val="7030A0"/>
          <w:sz w:val="24"/>
          <w:szCs w:val="24"/>
        </w:rPr>
      </w:pPr>
      <w:r>
        <w:rPr>
          <w:rFonts w:ascii="Times New Roman" w:hAnsi="Times New Roman"/>
          <w:b/>
          <w:color w:val="7030A0"/>
          <w:sz w:val="24"/>
          <w:szCs w:val="24"/>
        </w:rPr>
        <w:t>Abschließende Hinweise:</w:t>
      </w:r>
    </w:p>
    <w:p w:rsidR="00A43209" w:rsidRDefault="00A43209">
      <w:pPr>
        <w:jc w:val="both"/>
        <w:rPr>
          <w:rFonts w:ascii="Times New Roman" w:hAnsi="Times New Roman"/>
          <w:sz w:val="22"/>
        </w:rPr>
      </w:pPr>
    </w:p>
    <w:p w:rsidR="00A43209" w:rsidRDefault="00E254A8">
      <w:pPr>
        <w:jc w:val="both"/>
        <w:rPr>
          <w:rFonts w:ascii="Times New Roman" w:hAnsi="Times New Roman"/>
          <w:sz w:val="22"/>
        </w:rPr>
      </w:pPr>
      <w:r>
        <w:rPr>
          <w:rFonts w:ascii="Times New Roman" w:hAnsi="Times New Roman"/>
          <w:sz w:val="22"/>
        </w:rPr>
        <w:lastRenderedPageBreak/>
        <w:t>Es handelt sich um ein einstufiges Ver</w:t>
      </w:r>
      <w:r>
        <w:rPr>
          <w:rFonts w:ascii="Times New Roman" w:hAnsi="Times New Roman"/>
          <w:sz w:val="22"/>
        </w:rPr>
        <w:t>fahren. Das Einreichen von unvollständigen Unterlagen kann demnach zum Ausschluss vom Verfahren führen. Bitte nutzen Sie daher die zur Verfügung gestellten Checklisten und Vorlagen.*)</w:t>
      </w:r>
    </w:p>
    <w:p w:rsidR="00A43209" w:rsidRDefault="00A43209">
      <w:pPr>
        <w:jc w:val="both"/>
        <w:rPr>
          <w:rFonts w:ascii="Times New Roman" w:hAnsi="Times New Roman"/>
          <w:sz w:val="22"/>
        </w:rPr>
      </w:pPr>
    </w:p>
    <w:p w:rsidR="00A43209" w:rsidRDefault="00E254A8">
      <w:pPr>
        <w:pStyle w:val="Default"/>
        <w:jc w:val="both"/>
        <w:rPr>
          <w:rFonts w:ascii="Times New Roman" w:hAnsi="Times New Roman" w:cs="Times New Roman"/>
          <w:sz w:val="22"/>
          <w:szCs w:val="20"/>
        </w:rPr>
      </w:pPr>
      <w:r>
        <w:rPr>
          <w:rFonts w:ascii="Times New Roman" w:hAnsi="Times New Roman" w:cs="Times New Roman"/>
          <w:sz w:val="22"/>
          <w:szCs w:val="20"/>
        </w:rPr>
        <w:t xml:space="preserve">Die Antragstellenden sind aufgefordert, sich an die jeweilig </w:t>
      </w:r>
      <w:r>
        <w:rPr>
          <w:rFonts w:ascii="Times New Roman" w:hAnsi="Times New Roman" w:cs="Times New Roman"/>
          <w:sz w:val="22"/>
          <w:szCs w:val="20"/>
        </w:rPr>
        <w:t>zutreffende Richtlinie des BMBF zur Antragstellung zu halten. Diese sind unter folgendem Links entsprechend einzusehen:</w:t>
      </w:r>
    </w:p>
    <w:p w:rsidR="00A43209" w:rsidRDefault="00A43209">
      <w:pPr>
        <w:pStyle w:val="Default"/>
        <w:jc w:val="both"/>
        <w:rPr>
          <w:rFonts w:ascii="Times New Roman" w:hAnsi="Times New Roman" w:cs="Times New Roman"/>
          <w:sz w:val="22"/>
          <w:szCs w:val="20"/>
        </w:rPr>
      </w:pPr>
    </w:p>
    <w:p w:rsidR="00A43209" w:rsidRDefault="00E254A8">
      <w:pPr>
        <w:pStyle w:val="Listenabsatz"/>
        <w:numPr>
          <w:ilvl w:val="0"/>
          <w:numId w:val="37"/>
        </w:numPr>
        <w:ind w:left="426" w:hanging="426"/>
        <w:jc w:val="both"/>
        <w:rPr>
          <w:rStyle w:val="Hyperlink"/>
          <w:rFonts w:ascii="Times New Roman" w:hAnsi="Times New Roman" w:cs="EUAlbertina"/>
          <w:sz w:val="22"/>
          <w:szCs w:val="24"/>
          <w:lang w:eastAsia="en-US"/>
        </w:rPr>
      </w:pPr>
      <w:r>
        <w:rPr>
          <w:rFonts w:ascii="Times New Roman" w:hAnsi="Times New Roman"/>
          <w:sz w:val="22"/>
        </w:rPr>
        <w:t>die „Richtlinie für Zuwendungsanträge auf Ausgabenbasis – AZA“ (Vordr</w:t>
      </w:r>
      <w:r>
        <w:rPr>
          <w:rFonts w:ascii="Times New Roman" w:hAnsi="Times New Roman"/>
          <w:sz w:val="22"/>
        </w:rPr>
        <w:t>uck</w:t>
      </w:r>
      <w:r>
        <w:rPr>
          <w:rFonts w:ascii="Times New Roman" w:hAnsi="Times New Roman"/>
          <w:sz w:val="22"/>
        </w:rPr>
        <w:t xml:space="preserve">-Nr. 0027a) unter  </w:t>
      </w:r>
      <w:r>
        <w:rPr>
          <w:rFonts w:ascii="Times New Roman" w:hAnsi="Times New Roman"/>
          <w:sz w:val="22"/>
        </w:rPr>
        <w:fldChar w:fldCharType="begin"/>
      </w:r>
      <w:r>
        <w:rPr>
          <w:rFonts w:ascii="Times New Roman" w:hAnsi="Times New Roman"/>
          <w:sz w:val="22"/>
        </w:rPr>
        <w:instrText xml:space="preserve"> HYPERLINK "https://foerderportal.bund.de/e</w:instrText>
      </w:r>
      <w:r>
        <w:rPr>
          <w:rFonts w:ascii="Times New Roman" w:hAnsi="Times New Roman"/>
          <w:sz w:val="22"/>
        </w:rPr>
        <w:instrText xml:space="preserve">asy/module/easy_formulare/download.php?datei=179" </w:instrText>
      </w:r>
      <w:r>
        <w:rPr>
          <w:rFonts w:ascii="Times New Roman" w:hAnsi="Times New Roman"/>
          <w:sz w:val="22"/>
        </w:rPr>
        <w:fldChar w:fldCharType="separate"/>
      </w:r>
      <w:r>
        <w:rPr>
          <w:rStyle w:val="Hyperlink"/>
          <w:rFonts w:ascii="Times New Roman" w:hAnsi="Times New Roman"/>
          <w:sz w:val="22"/>
        </w:rPr>
        <w:t>https://foerderportal.bund.de/easy/module/easy_formulare/download.php?datei=179</w:t>
      </w:r>
    </w:p>
    <w:p w:rsidR="00A43209" w:rsidRDefault="00E254A8">
      <w:pPr>
        <w:pStyle w:val="Listenabsatz"/>
        <w:numPr>
          <w:ilvl w:val="0"/>
          <w:numId w:val="37"/>
        </w:numPr>
        <w:ind w:left="426" w:hanging="426"/>
        <w:jc w:val="both"/>
        <w:rPr>
          <w:rStyle w:val="Hyperlink"/>
          <w:rFonts w:ascii="Times New Roman" w:hAnsi="Times New Roman"/>
          <w:sz w:val="22"/>
        </w:rPr>
      </w:pPr>
      <w:r>
        <w:rPr>
          <w:rFonts w:ascii="Times New Roman" w:hAnsi="Times New Roman"/>
          <w:sz w:val="22"/>
        </w:rPr>
        <w:fldChar w:fldCharType="end"/>
      </w:r>
      <w:r>
        <w:rPr>
          <w:rFonts w:ascii="Times New Roman" w:hAnsi="Times New Roman"/>
          <w:sz w:val="22"/>
        </w:rPr>
        <w:t>die „Richtlinie für Zuwendungsanträge auf Kostenbasis – AZK“ (Vordruck</w:t>
      </w:r>
      <w:r>
        <w:rPr>
          <w:rFonts w:ascii="Times New Roman" w:hAnsi="Times New Roman"/>
          <w:sz w:val="22"/>
        </w:rPr>
        <w:t xml:space="preserve">-Nr. 0047a) unter  </w:t>
      </w:r>
      <w:r>
        <w:rPr>
          <w:rFonts w:ascii="Times New Roman" w:hAnsi="Times New Roman"/>
          <w:sz w:val="22"/>
        </w:rPr>
        <w:fldChar w:fldCharType="begin"/>
      </w:r>
      <w:r>
        <w:rPr>
          <w:rFonts w:ascii="Times New Roman" w:hAnsi="Times New Roman"/>
          <w:sz w:val="22"/>
        </w:rPr>
        <w:instrText xml:space="preserve"> HYPERLINK "https://foerderportal</w:instrText>
      </w:r>
      <w:r>
        <w:rPr>
          <w:rFonts w:ascii="Times New Roman" w:hAnsi="Times New Roman"/>
          <w:sz w:val="22"/>
        </w:rPr>
        <w:instrText xml:space="preserve">.bund.de/easy/module/easy_formulare/download.php?datei=192d.php?datei=192" </w:instrText>
      </w:r>
      <w:r>
        <w:rPr>
          <w:rFonts w:ascii="Times New Roman" w:hAnsi="Times New Roman"/>
          <w:sz w:val="22"/>
        </w:rPr>
        <w:fldChar w:fldCharType="separate"/>
      </w:r>
      <w:r>
        <w:rPr>
          <w:rStyle w:val="Hyperlink"/>
          <w:rFonts w:ascii="Times New Roman" w:hAnsi="Times New Roman"/>
          <w:sz w:val="22"/>
        </w:rPr>
        <w:t xml:space="preserve">https://foerderportal.bund.de/easy/module/easy_formulare/download.php?datei=192 </w:t>
      </w:r>
    </w:p>
    <w:p w:rsidR="00A43209" w:rsidRDefault="00E254A8">
      <w:pPr>
        <w:pStyle w:val="Listenabsatz"/>
        <w:numPr>
          <w:ilvl w:val="0"/>
          <w:numId w:val="37"/>
        </w:numPr>
        <w:ind w:left="426" w:hanging="426"/>
        <w:jc w:val="both"/>
        <w:rPr>
          <w:rFonts w:ascii="Times New Roman" w:hAnsi="Times New Roman"/>
          <w:sz w:val="22"/>
        </w:rPr>
      </w:pPr>
      <w:r>
        <w:rPr>
          <w:rFonts w:ascii="Times New Roman" w:hAnsi="Times New Roman"/>
          <w:sz w:val="22"/>
        </w:rPr>
        <w:fldChar w:fldCharType="end"/>
      </w:r>
      <w:r>
        <w:rPr>
          <w:rFonts w:ascii="Times New Roman" w:hAnsi="Times New Roman"/>
          <w:sz w:val="22"/>
        </w:rPr>
        <w:t xml:space="preserve">sowie das mit dieser Richtlinie verbundene „Merkblatt Vorkalkulation für Zuwendungen - </w:t>
      </w:r>
      <w:r>
        <w:rPr>
          <w:rFonts w:ascii="Times New Roman" w:hAnsi="Times New Roman"/>
          <w:sz w:val="22"/>
        </w:rPr>
        <w:t>Kostenbasis - AZK 4“ (Vordr</w:t>
      </w:r>
      <w:r>
        <w:rPr>
          <w:rFonts w:ascii="Times New Roman" w:hAnsi="Times New Roman"/>
          <w:sz w:val="22"/>
        </w:rPr>
        <w:t>uck</w:t>
      </w:r>
      <w:r>
        <w:rPr>
          <w:rFonts w:ascii="Times New Roman" w:hAnsi="Times New Roman"/>
          <w:sz w:val="22"/>
        </w:rPr>
        <w:t xml:space="preserve">-Nr. 0048a) unter </w:t>
      </w:r>
      <w:hyperlink r:id="rId19" w:history="1">
        <w:r>
          <w:rPr>
            <w:rStyle w:val="Hyperlink"/>
            <w:rFonts w:ascii="Times New Roman" w:hAnsi="Times New Roman"/>
            <w:sz w:val="22"/>
          </w:rPr>
          <w:t>https://foerderportal.bund.de/easy/module/easy_formulare/download.php?datei=193</w:t>
        </w:r>
      </w:hyperlink>
    </w:p>
    <w:p w:rsidR="00A43209" w:rsidRDefault="00E254A8">
      <w:pPr>
        <w:spacing w:after="200"/>
        <w:rPr>
          <w:rFonts w:ascii="Times New Roman" w:hAnsi="Times New Roman"/>
          <w:b/>
          <w:color w:val="7030A0"/>
          <w:sz w:val="24"/>
          <w:szCs w:val="24"/>
        </w:rPr>
      </w:pPr>
      <w:r>
        <w:rPr>
          <w:rFonts w:ascii="Times New Roman" w:hAnsi="Times New Roman"/>
          <w:b/>
          <w:color w:val="7030A0"/>
          <w:sz w:val="24"/>
          <w:szCs w:val="24"/>
        </w:rPr>
        <w:br w:type="page"/>
      </w:r>
    </w:p>
    <w:p w:rsidR="00A43209" w:rsidRDefault="00A43209">
      <w:pPr>
        <w:jc w:val="both"/>
        <w:rPr>
          <w:rFonts w:ascii="Times New Roman" w:hAnsi="Times New Roman"/>
          <w:b/>
          <w:color w:val="7030A0"/>
          <w:sz w:val="24"/>
          <w:szCs w:val="24"/>
        </w:rPr>
      </w:pPr>
    </w:p>
    <w:p w:rsidR="00A43209" w:rsidRDefault="00E254A8">
      <w:pPr>
        <w:jc w:val="both"/>
        <w:rPr>
          <w:rFonts w:ascii="Times New Roman" w:hAnsi="Times New Roman"/>
          <w:b/>
          <w:color w:val="7030A0"/>
          <w:sz w:val="24"/>
          <w:szCs w:val="24"/>
        </w:rPr>
      </w:pPr>
      <w:r>
        <w:rPr>
          <w:rFonts w:ascii="Times New Roman" w:hAnsi="Times New Roman"/>
          <w:b/>
          <w:color w:val="7030A0"/>
          <w:sz w:val="24"/>
          <w:szCs w:val="24"/>
        </w:rPr>
        <w:t>Impressum</w:t>
      </w:r>
    </w:p>
    <w:p w:rsidR="00A43209" w:rsidRDefault="00A43209">
      <w:pPr>
        <w:jc w:val="both"/>
        <w:rPr>
          <w:rFonts w:ascii="Times New Roman" w:hAnsi="Times New Roman"/>
          <w:b/>
          <w:sz w:val="22"/>
          <w:u w:val="single"/>
        </w:rPr>
      </w:pPr>
    </w:p>
    <w:p w:rsidR="00A43209" w:rsidRDefault="00E254A8">
      <w:pPr>
        <w:jc w:val="both"/>
        <w:rPr>
          <w:rFonts w:ascii="Times New Roman" w:hAnsi="Times New Roman"/>
          <w:sz w:val="22"/>
        </w:rPr>
      </w:pPr>
      <w:r>
        <w:rPr>
          <w:rFonts w:ascii="Times New Roman" w:hAnsi="Times New Roman"/>
          <w:b/>
          <w:sz w:val="22"/>
        </w:rPr>
        <w:t>Herausgeber:</w:t>
      </w:r>
      <w:r>
        <w:rPr>
          <w:rFonts w:ascii="Times New Roman" w:hAnsi="Times New Roman"/>
          <w:sz w:val="22"/>
        </w:rPr>
        <w:t xml:space="preserve"> Bundesministerium für Bildung und Forschung (BMBF)</w:t>
      </w:r>
    </w:p>
    <w:p w:rsidR="00A43209" w:rsidRDefault="00E254A8">
      <w:pPr>
        <w:jc w:val="both"/>
        <w:rPr>
          <w:rFonts w:ascii="Times New Roman" w:hAnsi="Times New Roman"/>
          <w:sz w:val="22"/>
        </w:rPr>
      </w:pPr>
      <w:r>
        <w:rPr>
          <w:rFonts w:ascii="Times New Roman" w:hAnsi="Times New Roman"/>
          <w:sz w:val="22"/>
        </w:rPr>
        <w:t>Referat 114 - Ethik und Recht; Rahmenbedingungen der Digitalisierung</w:t>
      </w:r>
      <w:r>
        <w:rPr>
          <w:rFonts w:ascii="Times New Roman" w:hAnsi="Times New Roman"/>
          <w:sz w:val="22"/>
        </w:rPr>
        <w:br/>
        <w:t>Kapelle-Ufer 1, 10117 Berlin</w:t>
      </w:r>
    </w:p>
    <w:p w:rsidR="00A43209" w:rsidRDefault="00A43209">
      <w:pPr>
        <w:jc w:val="both"/>
        <w:rPr>
          <w:rFonts w:ascii="Times New Roman" w:hAnsi="Times New Roman"/>
          <w:sz w:val="18"/>
          <w:szCs w:val="16"/>
        </w:rPr>
      </w:pPr>
    </w:p>
    <w:p w:rsidR="00A43209" w:rsidRDefault="00E254A8">
      <w:pPr>
        <w:jc w:val="both"/>
        <w:rPr>
          <w:rFonts w:ascii="Times New Roman" w:hAnsi="Times New Roman"/>
          <w:sz w:val="22"/>
        </w:rPr>
      </w:pPr>
      <w:r>
        <w:rPr>
          <w:rFonts w:ascii="Times New Roman" w:hAnsi="Times New Roman"/>
          <w:b/>
          <w:sz w:val="22"/>
        </w:rPr>
        <w:t>Stand</w:t>
      </w:r>
      <w:r>
        <w:rPr>
          <w:rFonts w:ascii="Times New Roman" w:hAnsi="Times New Roman"/>
          <w:sz w:val="22"/>
        </w:rPr>
        <w:t>: 12</w:t>
      </w:r>
      <w:r>
        <w:rPr>
          <w:rFonts w:ascii="Times New Roman" w:hAnsi="Times New Roman"/>
          <w:sz w:val="22"/>
        </w:rPr>
        <w:t xml:space="preserve">. </w:t>
      </w:r>
      <w:r>
        <w:rPr>
          <w:rFonts w:ascii="Times New Roman" w:hAnsi="Times New Roman"/>
          <w:sz w:val="22"/>
        </w:rPr>
        <w:t>Juni 2020</w:t>
      </w:r>
    </w:p>
    <w:p w:rsidR="00A43209" w:rsidRDefault="00A43209">
      <w:pPr>
        <w:jc w:val="both"/>
        <w:rPr>
          <w:rFonts w:ascii="Times New Roman" w:hAnsi="Times New Roman"/>
          <w:sz w:val="18"/>
          <w:szCs w:val="16"/>
        </w:rPr>
      </w:pPr>
    </w:p>
    <w:p w:rsidR="00A43209" w:rsidRDefault="00E254A8">
      <w:pPr>
        <w:jc w:val="both"/>
        <w:rPr>
          <w:rFonts w:ascii="Times New Roman" w:hAnsi="Times New Roman"/>
          <w:b/>
          <w:sz w:val="22"/>
          <w:u w:val="single"/>
        </w:rPr>
      </w:pPr>
      <w:r>
        <w:rPr>
          <w:rFonts w:ascii="Times New Roman" w:hAnsi="Times New Roman"/>
          <w:b/>
          <w:sz w:val="22"/>
        </w:rPr>
        <w:t>Konzeption / Redaktion:</w:t>
      </w:r>
      <w:r>
        <w:rPr>
          <w:rFonts w:ascii="Times New Roman" w:hAnsi="Times New Roman"/>
          <w:sz w:val="22"/>
        </w:rPr>
        <w:t xml:space="preserve"> VDI/VDE Innovation + Technik GmbH</w:t>
      </w:r>
    </w:p>
    <w:sectPr w:rsidR="00A43209">
      <w:headerReference w:type="default" r:id="rId20"/>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209" w:rsidRDefault="00E254A8">
      <w:r>
        <w:separator/>
      </w:r>
    </w:p>
  </w:endnote>
  <w:endnote w:type="continuationSeparator" w:id="0">
    <w:p w:rsidR="00A43209" w:rsidRDefault="00E2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4A8" w:rsidRDefault="00E254A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209" w:rsidRDefault="00E254A8">
    <w:pPr>
      <w:pStyle w:val="Fuzeile"/>
      <w:jc w:val="right"/>
    </w:pPr>
    <w:r>
      <w:t xml:space="preserve">Seite </w:t>
    </w:r>
    <w:sdt>
      <w:sdtPr>
        <w:id w:val="1898619847"/>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rsidR="00A43209" w:rsidRDefault="00E254A8">
    <w:pPr>
      <w:jc w:val="both"/>
      <w:rPr>
        <w:rFonts w:ascii="Times New Roman" w:hAnsi="Times New Roman"/>
        <w:sz w:val="18"/>
        <w:szCs w:val="18"/>
      </w:rPr>
    </w:pPr>
    <w:r>
      <w:rPr>
        <w:rFonts w:ascii="Times New Roman" w:hAnsi="Times New Roman"/>
        <w:sz w:val="18"/>
        <w:szCs w:val="18"/>
      </w:rPr>
      <w:t xml:space="preserve">*) Weiterführende Unterlagen und Vorlagen finden Sie unter folgendem Link: </w:t>
    </w:r>
    <w:hyperlink r:id="rId1" w:history="1">
      <w:r>
        <w:rPr>
          <w:rStyle w:val="Hyperlink"/>
          <w:rFonts w:ascii="Times New Roman" w:hAnsi="Times New Roman"/>
          <w:sz w:val="18"/>
          <w:szCs w:val="18"/>
        </w:rPr>
        <w:t>https://vdivde-it.de/formulare-fuer-foerderprojekte</w:t>
      </w:r>
    </w:hyperlink>
    <w:r>
      <w:rPr>
        <w:rFonts w:ascii="Times New Roman" w:hAnsi="Times New Roman"/>
        <w:sz w:val="18"/>
        <w:szCs w:val="18"/>
      </w:rPr>
      <w:t xml:space="preserve"> (unter dem Eintrag: „</w:t>
    </w:r>
    <w:r>
      <w:rPr>
        <w:rFonts w:ascii="Times New Roman" w:hAnsi="Times New Roman"/>
        <w:b/>
        <w:sz w:val="18"/>
        <w:szCs w:val="18"/>
      </w:rPr>
      <w:t>Unterlagen zur Antragstellung für</w:t>
    </w:r>
    <w:r>
      <w:rPr>
        <w:rFonts w:ascii="Times New Roman" w:hAnsi="Times New Roman"/>
        <w:b/>
        <w:sz w:val="18"/>
        <w:szCs w:val="18"/>
      </w:rPr>
      <w:t xml:space="preserve"> die Förderrichtlinie „Beschleunigung der Transformation zu Open Access</w:t>
    </w:r>
    <w:r>
      <w:rPr>
        <w:rFonts w:ascii="Times New Roman" w:hAnsi="Times New Roman"/>
        <w:sz w:val="18"/>
        <w:szCs w:val="18"/>
      </w:rPr>
      <w:t>“).</w:t>
    </w:r>
  </w:p>
  <w:p w:rsidR="00A43209" w:rsidRDefault="00A4320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4A8" w:rsidRDefault="00E254A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209" w:rsidRDefault="00E254A8">
      <w:r>
        <w:separator/>
      </w:r>
    </w:p>
  </w:footnote>
  <w:footnote w:type="continuationSeparator" w:id="0">
    <w:p w:rsidR="00A43209" w:rsidRDefault="00E25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4A8" w:rsidRDefault="00E254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209" w:rsidRDefault="00A43209">
    <w:pPr>
      <w:pStyle w:val="Kopfzeile"/>
    </w:pPr>
  </w:p>
  <w:p w:rsidR="00A43209" w:rsidRDefault="00A4320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4A8" w:rsidRDefault="00E254A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209" w:rsidRDefault="00A43209">
    <w:pPr>
      <w:jc w:val="center"/>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5"/>
      <w:gridCol w:w="2137"/>
    </w:tblGrid>
    <w:tr w:rsidR="00A43209">
      <w:tc>
        <w:tcPr>
          <w:tcW w:w="7054" w:type="dxa"/>
        </w:tcPr>
        <w:p w:rsidR="00A43209" w:rsidRDefault="00E254A8">
          <w:pPr>
            <w:rPr>
              <w:rFonts w:ascii="Times New Roman" w:hAnsi="Times New Roman"/>
              <w:b/>
              <w:color w:val="A6A6A6" w:themeColor="background1" w:themeShade="A6"/>
              <w:sz w:val="18"/>
              <w:szCs w:val="18"/>
            </w:rPr>
          </w:pPr>
          <w:r>
            <w:rPr>
              <w:rFonts w:ascii="Times New Roman" w:hAnsi="Times New Roman"/>
              <w:b/>
              <w:color w:val="A6A6A6" w:themeColor="background1" w:themeShade="A6"/>
              <w:sz w:val="18"/>
              <w:szCs w:val="18"/>
            </w:rPr>
            <w:t>Leitfaden für Anträge z</w:t>
          </w:r>
          <w:r>
            <w:rPr>
              <w:rFonts w:ascii="Times New Roman" w:hAnsi="Times New Roman"/>
              <w:b/>
              <w:color w:val="A6A6A6" w:themeColor="background1" w:themeShade="A6"/>
              <w:sz w:val="18"/>
              <w:szCs w:val="18"/>
            </w:rPr>
            <w:t xml:space="preserve">ur Förderrichtlinie </w:t>
          </w:r>
        </w:p>
        <w:p w:rsidR="00A43209" w:rsidRDefault="00E254A8">
          <w:pPr>
            <w:rPr>
              <w:rFonts w:ascii="Times New Roman" w:hAnsi="Times New Roman"/>
              <w:b/>
              <w:color w:val="A6A6A6" w:themeColor="background1" w:themeShade="A6"/>
              <w:sz w:val="18"/>
              <w:szCs w:val="18"/>
            </w:rPr>
          </w:pPr>
          <w:r>
            <w:rPr>
              <w:rFonts w:ascii="Times New Roman" w:hAnsi="Times New Roman"/>
              <w:b/>
              <w:color w:val="A6A6A6" w:themeColor="background1" w:themeShade="A6"/>
              <w:sz w:val="18"/>
              <w:szCs w:val="18"/>
            </w:rPr>
            <w:t>„Beschleunigung der Transformation zu Open Access“</w:t>
          </w:r>
        </w:p>
      </w:tc>
      <w:tc>
        <w:tcPr>
          <w:tcW w:w="2158" w:type="dxa"/>
        </w:tcPr>
        <w:p w:rsidR="00A43209" w:rsidRDefault="00E254A8">
          <w:pPr>
            <w:jc w:val="right"/>
            <w:rPr>
              <w:rFonts w:ascii="Times New Roman" w:hAnsi="Times New Roman"/>
              <w:b/>
              <w:color w:val="A6A6A6" w:themeColor="background1" w:themeShade="A6"/>
              <w:sz w:val="18"/>
              <w:szCs w:val="18"/>
            </w:rPr>
          </w:pPr>
          <w:r>
            <w:rPr>
              <w:rFonts w:ascii="Times New Roman" w:hAnsi="Times New Roman"/>
              <w:b/>
              <w:color w:val="A6A6A6" w:themeColor="background1" w:themeShade="A6"/>
              <w:sz w:val="18"/>
              <w:szCs w:val="18"/>
            </w:rPr>
            <w:t>12</w:t>
          </w:r>
          <w:r>
            <w:rPr>
              <w:rFonts w:ascii="Times New Roman" w:hAnsi="Times New Roman"/>
              <w:b/>
              <w:color w:val="A6A6A6" w:themeColor="background1" w:themeShade="A6"/>
              <w:sz w:val="18"/>
              <w:szCs w:val="18"/>
            </w:rPr>
            <w:t>.06.2020</w:t>
          </w:r>
        </w:p>
      </w:tc>
    </w:tr>
  </w:tbl>
  <w:p w:rsidR="00A43209" w:rsidRDefault="00A4320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2CC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D2C3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0A48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78D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2006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ECE0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48BE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086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70D5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4492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057F2"/>
    <w:multiLevelType w:val="hybridMultilevel"/>
    <w:tmpl w:val="3718E4EA"/>
    <w:lvl w:ilvl="0" w:tplc="9374759A">
      <w:start w:val="1"/>
      <w:numFmt w:val="decimal"/>
      <w:lvlText w:val="%1."/>
      <w:lvlJc w:val="left"/>
      <w:pPr>
        <w:ind w:left="1211" w:hanging="360"/>
      </w:pPr>
      <w:rPr>
        <w:rFonts w:hint="default"/>
      </w:rPr>
    </w:lvl>
    <w:lvl w:ilvl="1" w:tplc="04070019">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1" w15:restartNumberingAfterBreak="0">
    <w:nsid w:val="0F747823"/>
    <w:multiLevelType w:val="hybridMultilevel"/>
    <w:tmpl w:val="496C4246"/>
    <w:lvl w:ilvl="0" w:tplc="04070005">
      <w:start w:val="1"/>
      <w:numFmt w:val="bullet"/>
      <w:lvlText w:val=""/>
      <w:lvlJc w:val="left"/>
      <w:pPr>
        <w:ind w:left="72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7B0CDB"/>
    <w:multiLevelType w:val="hybridMultilevel"/>
    <w:tmpl w:val="C316BD76"/>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5CC58EF"/>
    <w:multiLevelType w:val="hybridMultilevel"/>
    <w:tmpl w:val="115C46D6"/>
    <w:lvl w:ilvl="0" w:tplc="EAA6946C">
      <w:start w:val="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64E758C"/>
    <w:multiLevelType w:val="hybridMultilevel"/>
    <w:tmpl w:val="28CC81CC"/>
    <w:lvl w:ilvl="0" w:tplc="1E3085B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C3E3724"/>
    <w:multiLevelType w:val="hybridMultilevel"/>
    <w:tmpl w:val="576A03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224032F3"/>
    <w:multiLevelType w:val="hybridMultilevel"/>
    <w:tmpl w:val="C3DC455A"/>
    <w:lvl w:ilvl="0" w:tplc="04070015">
      <w:start w:val="1"/>
      <w:numFmt w:val="decimal"/>
      <w:lvlText w:val="(%1)"/>
      <w:lvlJc w:val="left"/>
      <w:pPr>
        <w:ind w:left="1211" w:hanging="360"/>
      </w:pPr>
      <w:rPr>
        <w:rFonts w:hint="default"/>
      </w:rPr>
    </w:lvl>
    <w:lvl w:ilvl="1" w:tplc="04070019">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7" w15:restartNumberingAfterBreak="0">
    <w:nsid w:val="24964F98"/>
    <w:multiLevelType w:val="hybridMultilevel"/>
    <w:tmpl w:val="2444B86E"/>
    <w:lvl w:ilvl="0" w:tplc="2434270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13D2CA2"/>
    <w:multiLevelType w:val="hybridMultilevel"/>
    <w:tmpl w:val="F5A6650A"/>
    <w:lvl w:ilvl="0" w:tplc="779AF588">
      <w:start w:val="3"/>
      <w:numFmt w:val="bullet"/>
      <w:lvlText w:val="-"/>
      <w:lvlJc w:val="left"/>
      <w:pPr>
        <w:ind w:left="1065" w:hanging="360"/>
      </w:pPr>
      <w:rPr>
        <w:rFonts w:ascii="Arial" w:eastAsia="Times New Roman"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9" w15:restartNumberingAfterBreak="0">
    <w:nsid w:val="331430E3"/>
    <w:multiLevelType w:val="hybridMultilevel"/>
    <w:tmpl w:val="723E31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3613C60"/>
    <w:multiLevelType w:val="hybridMultilevel"/>
    <w:tmpl w:val="0C6E1852"/>
    <w:lvl w:ilvl="0" w:tplc="E180889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1D7269F"/>
    <w:multiLevelType w:val="multilevel"/>
    <w:tmpl w:val="D49C0EE0"/>
    <w:lvl w:ilvl="0">
      <w:numFmt w:val="bullet"/>
      <w:lvlText w:val="·"/>
      <w:lvlJc w:val="left"/>
      <w:pPr>
        <w:tabs>
          <w:tab w:val="left" w:pos="288"/>
        </w:tabs>
      </w:pPr>
      <w:rPr>
        <w:rFonts w:ascii="Symbol" w:eastAsia="Symbol" w:hAnsi="Symbol"/>
        <w:color w:val="000000"/>
        <w:spacing w:val="1"/>
        <w:w w:val="100"/>
        <w:sz w:val="17"/>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4"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5" w15:restartNumberingAfterBreak="0">
    <w:nsid w:val="51B25D65"/>
    <w:multiLevelType w:val="hybridMultilevel"/>
    <w:tmpl w:val="7396D6F6"/>
    <w:lvl w:ilvl="0" w:tplc="EAA6946C">
      <w:start w:val="3"/>
      <w:numFmt w:val="bullet"/>
      <w:lvlText w:val="-"/>
      <w:lvlJc w:val="left"/>
      <w:pPr>
        <w:ind w:left="1065" w:hanging="360"/>
      </w:pPr>
      <w:rPr>
        <w:rFonts w:ascii="Arial" w:eastAsia="Times New Roman"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6" w15:restartNumberingAfterBreak="0">
    <w:nsid w:val="58B26C1C"/>
    <w:multiLevelType w:val="hybridMultilevel"/>
    <w:tmpl w:val="CC94FDD4"/>
    <w:lvl w:ilvl="0" w:tplc="EDFC85C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D93154E"/>
    <w:multiLevelType w:val="hybridMultilevel"/>
    <w:tmpl w:val="30A6AC38"/>
    <w:lvl w:ilvl="0" w:tplc="E180889C">
      <w:start w:val="3"/>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82E04FA"/>
    <w:multiLevelType w:val="hybridMultilevel"/>
    <w:tmpl w:val="2138D5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6A41188B"/>
    <w:multiLevelType w:val="hybridMultilevel"/>
    <w:tmpl w:val="8E84EFAC"/>
    <w:lvl w:ilvl="0" w:tplc="DB12C7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ACF4EF2"/>
    <w:multiLevelType w:val="hybridMultilevel"/>
    <w:tmpl w:val="E40E6864"/>
    <w:lvl w:ilvl="0" w:tplc="EAA6946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3A96857"/>
    <w:multiLevelType w:val="hybridMultilevel"/>
    <w:tmpl w:val="520E382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3CA5EC1"/>
    <w:multiLevelType w:val="multilevel"/>
    <w:tmpl w:val="0D060612"/>
    <w:lvl w:ilvl="0">
      <w:start w:val="1"/>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680"/>
        </w:tabs>
        <w:ind w:left="680"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F70225"/>
    <w:multiLevelType w:val="hybridMultilevel"/>
    <w:tmpl w:val="3F7C05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21"/>
  </w:num>
  <w:num w:numId="6">
    <w:abstractNumId w:val="33"/>
  </w:num>
  <w:num w:numId="7">
    <w:abstractNumId w:val="24"/>
  </w:num>
  <w:num w:numId="8">
    <w:abstractNumId w:val="24"/>
  </w:num>
  <w:num w:numId="9">
    <w:abstractNumId w:val="24"/>
  </w:num>
  <w:num w:numId="10">
    <w:abstractNumId w:val="24"/>
  </w:num>
  <w:num w:numId="11">
    <w:abstractNumId w:val="24"/>
  </w:num>
  <w:num w:numId="12">
    <w:abstractNumId w:val="23"/>
  </w:num>
  <w:num w:numId="13">
    <w:abstractNumId w:val="23"/>
  </w:num>
  <w:num w:numId="14">
    <w:abstractNumId w:val="32"/>
  </w:num>
  <w:num w:numId="15">
    <w:abstractNumId w:val="32"/>
  </w:num>
  <w:num w:numId="16">
    <w:abstractNumId w:val="32"/>
  </w:num>
  <w:num w:numId="17">
    <w:abstractNumId w:val="32"/>
  </w:num>
  <w:num w:numId="18">
    <w:abstractNumId w:val="32"/>
  </w:num>
  <w:num w:numId="19">
    <w:abstractNumId w:val="32"/>
  </w:num>
  <w:num w:numId="20">
    <w:abstractNumId w:val="32"/>
  </w:num>
  <w:num w:numId="21">
    <w:abstractNumId w:val="32"/>
  </w:num>
  <w:num w:numId="22">
    <w:abstractNumId w:val="32"/>
  </w:num>
  <w:num w:numId="23">
    <w:abstractNumId w:val="32"/>
  </w:num>
  <w:num w:numId="24">
    <w:abstractNumId w:val="9"/>
  </w:num>
  <w:num w:numId="25">
    <w:abstractNumId w:val="8"/>
  </w:num>
  <w:num w:numId="26">
    <w:abstractNumId w:val="3"/>
  </w:num>
  <w:num w:numId="27">
    <w:abstractNumId w:val="2"/>
  </w:num>
  <w:num w:numId="28">
    <w:abstractNumId w:val="1"/>
  </w:num>
  <w:num w:numId="29">
    <w:abstractNumId w:val="0"/>
  </w:num>
  <w:num w:numId="30">
    <w:abstractNumId w:val="19"/>
  </w:num>
  <w:num w:numId="31">
    <w:abstractNumId w:val="25"/>
  </w:num>
  <w:num w:numId="32">
    <w:abstractNumId w:val="18"/>
  </w:num>
  <w:num w:numId="33">
    <w:abstractNumId w:val="27"/>
  </w:num>
  <w:num w:numId="34">
    <w:abstractNumId w:val="30"/>
  </w:num>
  <w:num w:numId="35">
    <w:abstractNumId w:val="13"/>
  </w:num>
  <w:num w:numId="36">
    <w:abstractNumId w:val="28"/>
  </w:num>
  <w:num w:numId="37">
    <w:abstractNumId w:val="12"/>
  </w:num>
  <w:num w:numId="38">
    <w:abstractNumId w:val="34"/>
  </w:num>
  <w:num w:numId="39">
    <w:abstractNumId w:val="11"/>
  </w:num>
  <w:num w:numId="40">
    <w:abstractNumId w:val="14"/>
  </w:num>
  <w:num w:numId="41">
    <w:abstractNumId w:val="29"/>
  </w:num>
  <w:num w:numId="42">
    <w:abstractNumId w:val="20"/>
  </w:num>
  <w:num w:numId="43">
    <w:abstractNumId w:val="22"/>
  </w:num>
  <w:num w:numId="44">
    <w:abstractNumId w:val="31"/>
  </w:num>
  <w:num w:numId="45">
    <w:abstractNumId w:val="10"/>
  </w:num>
  <w:num w:numId="46">
    <w:abstractNumId w:val="16"/>
  </w:num>
  <w:num w:numId="47">
    <w:abstractNumId w:val="15"/>
  </w:num>
  <w:num w:numId="48">
    <w:abstractNumId w:val="26"/>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09"/>
    <w:rsid w:val="00A43209"/>
    <w:rsid w:val="00E254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1B36E"/>
  <w15:docId w15:val="{A69E645F-C93B-43D8-B78B-D83B6037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0"/>
    </w:pPr>
    <w:rPr>
      <w:rFonts w:ascii="Arial" w:hAnsi="Arial" w:cs="Times New Roman"/>
      <w:sz w:val="20"/>
      <w:szCs w:val="20"/>
      <w:lang w:eastAsia="de-DE"/>
    </w:rPr>
  </w:style>
  <w:style w:type="paragraph" w:styleId="berschrift1">
    <w:name w:val="heading 1"/>
    <w:basedOn w:val="Standard"/>
    <w:next w:val="Standard"/>
    <w:link w:val="berschrift1Zchn"/>
    <w:uiPriority w:val="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Pr>
      <w:rFonts w:ascii="Arial" w:hAnsi="Arial" w:cs="Times New Roman"/>
      <w:sz w:val="20"/>
      <w:szCs w:val="20"/>
      <w:lang w:eastAsia="de-DE"/>
    </w:rPr>
  </w:style>
  <w:style w:type="paragraph" w:styleId="Aufzhlungszeichen2">
    <w:name w:val="List Bullet 2"/>
    <w:aliases w:val="IT Minus Ebene 2"/>
    <w:basedOn w:val="Standard"/>
    <w:pPr>
      <w:tabs>
        <w:tab w:val="num" w:pos="964"/>
      </w:tabs>
      <w:ind w:left="964" w:hanging="284"/>
    </w:pPr>
  </w:style>
  <w:style w:type="paragraph" w:styleId="Aufzhlungszeichen3">
    <w:name w:val="List Bullet 3"/>
    <w:aliases w:val="IT Plus Ebene 2"/>
    <w:basedOn w:val="Standard"/>
    <w:next w:val="Aufzhlungszeichen2"/>
    <w:pPr>
      <w:tabs>
        <w:tab w:val="num" w:pos="964"/>
      </w:tabs>
      <w:ind w:left="964" w:hanging="284"/>
    </w:pPr>
  </w:style>
  <w:style w:type="paragraph" w:styleId="Aufzhlungszeichen4">
    <w:name w:val="List Bullet 4"/>
    <w:aliases w:val="IT Doppelpfeil Ebene 3"/>
    <w:basedOn w:val="Standard"/>
    <w:pPr>
      <w:tabs>
        <w:tab w:val="num" w:pos="1247"/>
      </w:tabs>
      <w:ind w:left="1247" w:hanging="283"/>
    </w:pPr>
  </w:style>
  <w:style w:type="paragraph" w:styleId="Aufzhlungszeichen5">
    <w:name w:val="List Bullet 5"/>
    <w:aliases w:val="IT Pfeil Ebene 3"/>
    <w:basedOn w:val="Standard"/>
    <w:pPr>
      <w:tabs>
        <w:tab w:val="num" w:pos="1247"/>
      </w:tabs>
      <w:ind w:left="1247" w:hanging="283"/>
    </w:pPr>
  </w:style>
  <w:style w:type="paragraph" w:styleId="Beschriftung">
    <w:name w:val="caption"/>
    <w:aliases w:val="IT Beschriftung"/>
    <w:basedOn w:val="Standard"/>
    <w:next w:val="Standard"/>
    <w:link w:val="BeschriftungZchn"/>
    <w:pPr>
      <w:spacing w:before="160" w:after="240"/>
    </w:pPr>
    <w:rPr>
      <w:bCs/>
      <w:sz w:val="16"/>
    </w:rPr>
  </w:style>
  <w:style w:type="character" w:customStyle="1" w:styleId="BeschriftungZchn">
    <w:name w:val="Beschriftung Zchn"/>
    <w:aliases w:val="IT Beschriftung Zchn"/>
    <w:basedOn w:val="Absatz-Standardschriftart"/>
    <w:link w:val="Beschriftung"/>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style>
  <w:style w:type="character" w:customStyle="1" w:styleId="FormatvorlageBeschriftungZchn">
    <w:name w:val="Formatvorlage Beschriftung Zchn"/>
    <w:aliases w:val="IT Beschriftung + Fett Zchn"/>
    <w:basedOn w:val="BeschriftungZchn"/>
    <w:link w:val="FormatvorlageBeschriftung"/>
    <w:rPr>
      <w:rFonts w:ascii="Arial" w:hAnsi="Arial" w:cs="Times New Roman"/>
      <w:bCs/>
      <w:sz w:val="16"/>
      <w:szCs w:val="20"/>
      <w:lang w:eastAsia="de-DE"/>
    </w:rPr>
  </w:style>
  <w:style w:type="paragraph" w:customStyle="1" w:styleId="ITberschriftCohneNr">
    <w:name w:val="IT Überschrift C ohne Nr."/>
    <w:next w:val="Standard"/>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pPr>
      <w:ind w:left="618"/>
    </w:pPr>
    <w:rPr>
      <w:rFonts w:cs="Arial"/>
      <w:b w:val="0"/>
    </w:rPr>
  </w:style>
  <w:style w:type="paragraph" w:customStyle="1" w:styleId="FormatvorlageITDeckblattKleinsteSchriftFett">
    <w:name w:val="Formatvorlage IT Deckblatt Kleinste Schrift + Fett"/>
    <w:basedOn w:val="ITDeckblattKleinsteSchrift"/>
    <w:rPr>
      <w:b/>
      <w:bCs/>
    </w:rPr>
  </w:style>
  <w:style w:type="paragraph" w:customStyle="1" w:styleId="ITberschriftAohneNr">
    <w:name w:val="IT Überschrift A ohne Nr."/>
    <w:next w:val="Standard"/>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pPr>
      <w:spacing w:before="0"/>
    </w:pPr>
    <w:rPr>
      <w:bCs/>
    </w:rPr>
  </w:style>
  <w:style w:type="paragraph" w:styleId="Verzeichnis1">
    <w:name w:val="toc 1"/>
    <w:aliases w:val="IT Verzeichnis 1"/>
    <w:basedOn w:val="ITberschriftAohneNr"/>
    <w:next w:val="ITberschriftAohneNr"/>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Pr>
      <w:rFonts w:cs="Arial"/>
    </w:rPr>
  </w:style>
  <w:style w:type="paragraph" w:styleId="Verzeichnis2">
    <w:name w:val="toc 2"/>
    <w:aliases w:val="IT Verzeichnis 2"/>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pPr>
      <w:tabs>
        <w:tab w:val="clear" w:pos="1021"/>
        <w:tab w:val="left" w:pos="964"/>
      </w:tabs>
    </w:pPr>
    <w:rPr>
      <w:iCs w:val="0"/>
    </w:rPr>
  </w:style>
  <w:style w:type="paragraph" w:styleId="Verzeichnis3">
    <w:name w:val="toc 3"/>
    <w:aliases w:val="IT Verzeichnis 3"/>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pPr>
      <w:tabs>
        <w:tab w:val="clear" w:pos="1701"/>
      </w:tabs>
      <w:ind w:left="1588" w:hanging="1021"/>
    </w:pPr>
  </w:style>
  <w:style w:type="paragraph" w:styleId="Funotentext">
    <w:name w:val="footnote text"/>
    <w:aliases w:val="IT Fußnotentext"/>
    <w:basedOn w:val="Standard"/>
    <w:link w:val="FunotentextZchn"/>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Pr>
      <w:rFonts w:ascii="Arial" w:hAnsi="Arial" w:cs="Times New Roman"/>
      <w:sz w:val="16"/>
      <w:szCs w:val="20"/>
      <w:lang w:eastAsia="de-DE"/>
    </w:rPr>
  </w:style>
  <w:style w:type="character" w:styleId="Funotenzeichen">
    <w:name w:val="footnote reference"/>
    <w:aliases w:val="IT Fußnotenzeichen"/>
    <w:basedOn w:val="Absatz-Standardschriftart"/>
    <w:rPr>
      <w:position w:val="6"/>
      <w:sz w:val="16"/>
      <w:vertAlign w:val="superscript"/>
    </w:rPr>
  </w:style>
  <w:style w:type="character" w:styleId="Hyperlink">
    <w:name w:val="Hyperlink"/>
    <w:aliases w:val="IT Hyperlink"/>
    <w:basedOn w:val="Absatz-Standardschriftart"/>
    <w:rPr>
      <w:color w:val="000080"/>
      <w:u w:val="single"/>
    </w:rPr>
  </w:style>
  <w:style w:type="paragraph" w:customStyle="1" w:styleId="ITAbsatz">
    <w:name w:val="IT Absatz"/>
    <w:link w:val="ITAbsatzZchnZchn"/>
    <w:pPr>
      <w:numPr>
        <w:numId w:val="5"/>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Pr>
      <w:rFonts w:ascii="Arial" w:hAnsi="Arial" w:cs="Times New Roman"/>
      <w:sz w:val="20"/>
      <w:szCs w:val="20"/>
      <w:lang w:eastAsia="de-DE"/>
    </w:rPr>
  </w:style>
  <w:style w:type="paragraph" w:customStyle="1" w:styleId="ITAbsatzohneNr">
    <w:name w:val="IT Absatz ohne Nr."/>
    <w:basedOn w:val="ITAbsatz"/>
    <w:link w:val="ITAbsatzohneNrZchn"/>
    <w:pPr>
      <w:numPr>
        <w:numId w:val="0"/>
      </w:numPr>
      <w:spacing w:after="0"/>
    </w:pPr>
  </w:style>
  <w:style w:type="character" w:customStyle="1" w:styleId="ITAbsatzohneNrZchn">
    <w:name w:val="IT Absatz ohne Nr. Zchn"/>
    <w:basedOn w:val="ITAbsatzZchnZchn"/>
    <w:link w:val="ITAbsatzohneNr"/>
    <w:rPr>
      <w:rFonts w:ascii="Arial" w:hAnsi="Arial" w:cs="Times New Roman"/>
      <w:sz w:val="20"/>
      <w:szCs w:val="20"/>
      <w:lang w:eastAsia="de-DE"/>
    </w:rPr>
  </w:style>
  <w:style w:type="paragraph" w:customStyle="1" w:styleId="ITStandard">
    <w:name w:val="IT Standard"/>
    <w:link w:val="ITStandardZchn"/>
    <w:qFormat/>
    <w:pPr>
      <w:spacing w:after="0"/>
    </w:pPr>
    <w:rPr>
      <w:rFonts w:ascii="Arial" w:hAnsi="Arial" w:cs="Times New Roman"/>
      <w:sz w:val="20"/>
      <w:szCs w:val="20"/>
      <w:lang w:eastAsia="de-DE"/>
    </w:rPr>
  </w:style>
  <w:style w:type="character" w:customStyle="1" w:styleId="ITStandardZchn">
    <w:name w:val="IT Standard Zchn"/>
    <w:basedOn w:val="Absatz-Standardschriftart"/>
    <w:link w:val="ITStandard"/>
    <w:rPr>
      <w:rFonts w:ascii="Arial" w:hAnsi="Arial" w:cs="Times New Roman"/>
      <w:sz w:val="20"/>
      <w:szCs w:val="20"/>
      <w:lang w:eastAsia="de-DE"/>
    </w:rPr>
  </w:style>
  <w:style w:type="paragraph" w:customStyle="1" w:styleId="ITAbsatztextimRahmen">
    <w:name w:val="IT Absatztext im Rahmen"/>
    <w:basedOn w:val="ITStandard"/>
    <w:next w:val="ITStandard"/>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pPr>
      <w:numPr>
        <w:numId w:val="6"/>
      </w:numPr>
      <w:spacing w:after="80" w:line="240" w:lineRule="auto"/>
    </w:pPr>
    <w:rPr>
      <w:rFonts w:ascii="Arial" w:hAnsi="Arial" w:cs="Times New Roman"/>
      <w:sz w:val="20"/>
      <w:szCs w:val="20"/>
      <w:lang w:eastAsia="de-DE"/>
    </w:rPr>
  </w:style>
  <w:style w:type="paragraph" w:customStyle="1" w:styleId="ITAnhangberschrift1">
    <w:name w:val="IT Anhang Überschrift 1"/>
    <w:pPr>
      <w:spacing w:before="480" w:after="240" w:line="240" w:lineRule="auto"/>
    </w:pPr>
    <w:rPr>
      <w:rFonts w:ascii="Arial" w:hAnsi="Arial" w:cs="Times New Roman"/>
      <w:b/>
      <w:sz w:val="32"/>
      <w:szCs w:val="20"/>
      <w:lang w:eastAsia="de-DE"/>
    </w:rPr>
  </w:style>
  <w:style w:type="paragraph" w:customStyle="1" w:styleId="ITAufzhlung">
    <w:name w:val="IT Aufzählung ."/>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pPr>
      <w:numPr>
        <w:numId w:val="11"/>
      </w:numPr>
      <w:spacing w:line="240" w:lineRule="auto"/>
    </w:pPr>
  </w:style>
  <w:style w:type="paragraph" w:customStyle="1" w:styleId="ITAufzhlung2Minus">
    <w:name w:val="IT Aufzählung 2 Minus"/>
    <w:basedOn w:val="ITAbsatzohneNr"/>
    <w:pPr>
      <w:numPr>
        <w:ilvl w:val="1"/>
        <w:numId w:val="11"/>
      </w:numPr>
      <w:spacing w:after="60" w:line="240" w:lineRule="auto"/>
    </w:pPr>
  </w:style>
  <w:style w:type="paragraph" w:customStyle="1" w:styleId="ITAufzhlung3Plus">
    <w:name w:val="IT Aufzählung 3 Plus"/>
    <w:basedOn w:val="ITAufzhlung2Minus"/>
    <w:pPr>
      <w:numPr>
        <w:ilvl w:val="2"/>
      </w:numPr>
    </w:pPr>
  </w:style>
  <w:style w:type="paragraph" w:customStyle="1" w:styleId="ITAufzhlung4Pfeil">
    <w:name w:val="IT Aufzählung 4 Pfeil"/>
    <w:basedOn w:val="ITAufzhlung2Minus"/>
    <w:pPr>
      <w:numPr>
        <w:ilvl w:val="3"/>
      </w:numPr>
    </w:pPr>
  </w:style>
  <w:style w:type="paragraph" w:customStyle="1" w:styleId="ITAufzhlung5Doppelpfeil">
    <w:name w:val="IT Aufzählung 5 Doppelpfeil"/>
    <w:basedOn w:val="ITAufzhlung2Minus"/>
    <w:pPr>
      <w:numPr>
        <w:ilvl w:val="4"/>
      </w:numPr>
    </w:pPr>
  </w:style>
  <w:style w:type="paragraph" w:customStyle="1" w:styleId="ITDeckblattGrteSchrift">
    <w:name w:val="IT Deckblatt Größte Schrift"/>
    <w:basedOn w:val="ITberschriftAohneNr"/>
    <w:pPr>
      <w:spacing w:line="288" w:lineRule="auto"/>
      <w:jc w:val="right"/>
    </w:pPr>
    <w:rPr>
      <w:rFonts w:cs="Arial"/>
      <w:sz w:val="40"/>
    </w:rPr>
  </w:style>
  <w:style w:type="paragraph" w:customStyle="1" w:styleId="ITDeckblattKleinereSchrift">
    <w:name w:val="IT Deckblatt Kleinere Schrift"/>
    <w:basedOn w:val="ITberschriftCohneNr"/>
    <w:pPr>
      <w:jc w:val="right"/>
    </w:pPr>
    <w:rPr>
      <w:rFonts w:cs="Arial"/>
      <w:b w:val="0"/>
      <w:sz w:val="24"/>
    </w:rPr>
  </w:style>
  <w:style w:type="paragraph" w:customStyle="1" w:styleId="ITberschriftBohneNr">
    <w:name w:val="IT Überschrift B ohne Nr."/>
    <w:next w:val="ITAbsatzohneNr"/>
    <w:link w:val="ITberschriftBohneNrZchnZchn"/>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Pr>
      <w:rFonts w:ascii="Arial" w:hAnsi="Arial" w:cs="Times New Roman"/>
      <w:b/>
      <w:sz w:val="24"/>
      <w:szCs w:val="20"/>
      <w:lang w:eastAsia="de-DE"/>
    </w:rPr>
  </w:style>
  <w:style w:type="paragraph" w:customStyle="1" w:styleId="ITDeckblattMittlereSchrift">
    <w:name w:val="IT Deckblatt Mittlere Schrift"/>
    <w:basedOn w:val="ITberschriftBohneNr"/>
    <w:pPr>
      <w:jc w:val="right"/>
    </w:pPr>
    <w:rPr>
      <w:sz w:val="28"/>
    </w:rPr>
  </w:style>
  <w:style w:type="paragraph" w:customStyle="1" w:styleId="ITFuzeile">
    <w:name w:val="IT Fußzeile"/>
    <w:link w:val="ITFuzeileZchn"/>
    <w:autoRedefine/>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Pr>
      <w:rFonts w:ascii="Arial" w:hAnsi="Arial" w:cs="Times New Roman"/>
      <w:color w:val="808080"/>
      <w:sz w:val="20"/>
      <w:szCs w:val="20"/>
      <w:lang w:eastAsia="de-DE"/>
    </w:rPr>
  </w:style>
  <w:style w:type="character" w:customStyle="1" w:styleId="ITHochgestellt">
    <w:name w:val="IT Hochgestellt"/>
    <w:rPr>
      <w:bCs/>
      <w:vertAlign w:val="superscript"/>
    </w:rPr>
  </w:style>
  <w:style w:type="character" w:customStyle="1" w:styleId="ITMarkierungblau">
    <w:name w:val="IT Markierung blau"/>
    <w:basedOn w:val="Absatz-Standardschriftart"/>
    <w:rPr>
      <w:bdr w:val="none" w:sz="0" w:space="0" w:color="auto"/>
      <w:shd w:val="clear" w:color="auto" w:fill="00FFFF"/>
      <w:lang w:val="de-DE"/>
    </w:rPr>
  </w:style>
  <w:style w:type="character" w:customStyle="1" w:styleId="ITMarkierunggelb">
    <w:name w:val="IT Markierung gelb"/>
    <w:basedOn w:val="Absatz-Standardschriftart"/>
    <w:rPr>
      <w:bdr w:val="none" w:sz="0" w:space="0" w:color="auto"/>
      <w:shd w:val="clear" w:color="auto" w:fill="FFFF00"/>
    </w:rPr>
  </w:style>
  <w:style w:type="character" w:customStyle="1" w:styleId="ITMarkierungrot">
    <w:name w:val="IT Markierung rot"/>
    <w:basedOn w:val="Absatz-Standardschriftart"/>
    <w:rPr>
      <w:bdr w:val="none" w:sz="0" w:space="0" w:color="auto"/>
      <w:shd w:val="clear" w:color="auto" w:fill="FF0000"/>
    </w:rPr>
  </w:style>
  <w:style w:type="character" w:customStyle="1" w:styleId="ITMarkierungrckgngig">
    <w:name w:val="IT Markierung rückgängig"/>
    <w:basedOn w:val="Absatz-Standardschriftart"/>
    <w:rPr>
      <w:shd w:val="clear" w:color="auto" w:fill="auto"/>
    </w:rPr>
  </w:style>
  <w:style w:type="paragraph" w:customStyle="1" w:styleId="ITNummerierung">
    <w:name w:val="IT Nummerierung"/>
    <w:basedOn w:val="Standard"/>
    <w:pPr>
      <w:widowControl w:val="0"/>
      <w:numPr>
        <w:numId w:val="13"/>
      </w:numPr>
      <w:spacing w:after="120"/>
    </w:pPr>
  </w:style>
  <w:style w:type="paragraph" w:customStyle="1" w:styleId="ITNummerierung2Ebenea">
    <w:name w:val="IT Nummerierung 2. Ebene a)"/>
    <w:basedOn w:val="Standard"/>
    <w:pPr>
      <w:widowControl w:val="0"/>
      <w:numPr>
        <w:ilvl w:val="1"/>
        <w:numId w:val="13"/>
      </w:numPr>
      <w:spacing w:after="60"/>
    </w:pPr>
    <w:rPr>
      <w:rFonts w:cs="Arial"/>
    </w:rPr>
  </w:style>
  <w:style w:type="paragraph" w:customStyle="1" w:styleId="ITStandardausgeblendet">
    <w:name w:val="IT Standard ausgeblendet"/>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Pr>
      <w:rFonts w:ascii="Arial" w:eastAsia="Times New Roman" w:hAnsi="Arial" w:cs="Times New Roman"/>
      <w:sz w:val="20"/>
      <w:szCs w:val="20"/>
      <w:lang w:val="de-DE" w:eastAsia="de-DE" w:bidi="ar-SA"/>
    </w:rPr>
  </w:style>
  <w:style w:type="paragraph" w:customStyle="1" w:styleId="ITTabelleErsteZeile">
    <w:name w:val="IT Tabelle Erste Zeile"/>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pPr>
      <w:framePr w:wrap="notBeside"/>
    </w:pPr>
  </w:style>
  <w:style w:type="paragraph" w:customStyle="1" w:styleId="ITTabelleZellen">
    <w:name w:val="IT Tabelle Zellen"/>
    <w:basedOn w:val="ITTabelleErsteZeile"/>
    <w:pPr>
      <w:framePr w:wrap="notBeside"/>
    </w:pPr>
    <w:rPr>
      <w:b w:val="0"/>
    </w:rPr>
  </w:style>
  <w:style w:type="paragraph" w:customStyle="1" w:styleId="ITberschrift1">
    <w:name w:val="IT Überschrift 1"/>
    <w:next w:val="ITAbsatzohneNr"/>
    <w:link w:val="ITberschrift1ZchnZchn"/>
    <w:qFormat/>
    <w:pPr>
      <w:pageBreakBefore/>
      <w:widowControl w:val="0"/>
      <w:numPr>
        <w:numId w:val="23"/>
      </w:numPr>
      <w:spacing w:after="320" w:line="240" w:lineRule="auto"/>
      <w:outlineLvl w:val="0"/>
    </w:pPr>
    <w:rPr>
      <w:rFonts w:ascii="Arial" w:hAnsi="Arial" w:cs="Times New Roman"/>
      <w:b/>
      <w:sz w:val="32"/>
      <w:szCs w:val="20"/>
      <w:lang w:eastAsia="de-DE"/>
    </w:rPr>
  </w:style>
  <w:style w:type="character" w:customStyle="1" w:styleId="ITberschrift1ZchnZchn">
    <w:name w:val="IT Überschrift 1 Zchn Zchn"/>
    <w:basedOn w:val="Absatz-Standardschriftart"/>
    <w:link w:val="ITberschrift1"/>
    <w:rPr>
      <w:rFonts w:ascii="Arial" w:hAnsi="Arial" w:cs="Times New Roman"/>
      <w:b/>
      <w:sz w:val="32"/>
      <w:szCs w:val="20"/>
      <w:lang w:eastAsia="de-DE"/>
    </w:rPr>
  </w:style>
  <w:style w:type="paragraph" w:customStyle="1" w:styleId="ITberschrift11">
    <w:name w:val="IT Überschrift 1.1"/>
    <w:next w:val="ITAbsatzohneNr"/>
    <w:link w:val="ITberschrift11Zchn"/>
    <w:qFormat/>
    <w:pPr>
      <w:keepNext/>
      <w:numPr>
        <w:ilvl w:val="1"/>
        <w:numId w:val="23"/>
      </w:numPr>
      <w:spacing w:before="180" w:after="120" w:line="240" w:lineRule="auto"/>
      <w:outlineLvl w:val="1"/>
    </w:pPr>
    <w:rPr>
      <w:rFonts w:ascii="Arial" w:hAnsi="Arial" w:cs="Times New Roman"/>
      <w:b/>
      <w:sz w:val="24"/>
      <w:szCs w:val="20"/>
      <w:lang w:eastAsia="de-DE"/>
    </w:rPr>
  </w:style>
  <w:style w:type="character" w:customStyle="1" w:styleId="ITberschrift11Zchn">
    <w:name w:val="IT Überschrift 1.1 Zchn"/>
    <w:basedOn w:val="Absatz-Standardschriftart"/>
    <w:link w:val="ITberschrift11"/>
    <w:rPr>
      <w:rFonts w:ascii="Arial" w:hAnsi="Arial" w:cs="Times New Roman"/>
      <w:b/>
      <w:sz w:val="24"/>
      <w:szCs w:val="20"/>
      <w:lang w:eastAsia="de-DE"/>
    </w:rPr>
  </w:style>
  <w:style w:type="paragraph" w:customStyle="1" w:styleId="ITberschrift111">
    <w:name w:val="IT Überschrift 1.1.1"/>
    <w:next w:val="ITAbsatzohneNr"/>
    <w:qFormat/>
    <w:pPr>
      <w:numPr>
        <w:ilvl w:val="2"/>
        <w:numId w:val="23"/>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Pr>
      <w:sz w:val="12"/>
    </w:rPr>
  </w:style>
  <w:style w:type="character" w:customStyle="1" w:styleId="ITZitat">
    <w:name w:val="IT Zitat"/>
    <w:basedOn w:val="Absatz-Standardschriftart"/>
    <w:rPr>
      <w:rFonts w:ascii="Arial" w:hAnsi="Arial"/>
      <w:i/>
      <w:spacing w:val="0"/>
    </w:rPr>
  </w:style>
  <w:style w:type="paragraph" w:styleId="Kommentartext">
    <w:name w:val="annotation text"/>
    <w:aliases w:val="IT Kommentartext"/>
    <w:basedOn w:val="Standard"/>
    <w:link w:val="KommentartextZchn"/>
    <w:semiHidden/>
  </w:style>
  <w:style w:type="character" w:customStyle="1" w:styleId="KommentartextZchn">
    <w:name w:val="Kommentartext Zchn"/>
    <w:aliases w:val="IT Kommentartext Zchn"/>
    <w:basedOn w:val="Absatz-Standardschriftart"/>
    <w:link w:val="Kommentartext"/>
    <w:semiHidden/>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Pr>
      <w:b/>
      <w:bCs/>
    </w:rPr>
  </w:style>
  <w:style w:type="character" w:customStyle="1" w:styleId="KommentarthemaZchn">
    <w:name w:val="Kommentarthema Zchn"/>
    <w:aliases w:val="IT Kommentarthema Zchn"/>
    <w:basedOn w:val="KommentartextZchn"/>
    <w:link w:val="Kommentarthema"/>
    <w:semiHidden/>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Pr>
      <w:sz w:val="16"/>
      <w:szCs w:val="16"/>
    </w:rPr>
  </w:style>
  <w:style w:type="paragraph" w:styleId="Kopfzeile">
    <w:name w:val="header"/>
    <w:aliases w:val="IT Kopfzeile"/>
    <w:link w:val="KopfzeileZchn"/>
    <w:uiPriority w:val="99"/>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uiPriority w:val="99"/>
    <w:rPr>
      <w:rFonts w:ascii="Arial" w:hAnsi="Arial" w:cs="Times New Roman"/>
      <w:b/>
      <w:color w:val="808080"/>
      <w:sz w:val="20"/>
      <w:szCs w:val="20"/>
      <w:lang w:eastAsia="de-DE"/>
    </w:rPr>
  </w:style>
  <w:style w:type="paragraph" w:styleId="Verzeichnis4">
    <w:name w:val="toc 4"/>
    <w:aliases w:val="IT Verzeichnis Anhänge"/>
    <w:basedOn w:val="Verzeichnis1"/>
    <w:next w:val="Standard"/>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customStyle="1" w:styleId="berschrift3Zchn">
    <w:name w:val="Überschrift 3 Zchn"/>
    <w:basedOn w:val="Absatz-Standardschriftart"/>
    <w:link w:val="berschrift3"/>
    <w:uiPriority w:val="9"/>
    <w:rPr>
      <w:rFonts w:ascii="Times New Roman" w:hAnsi="Times New Roman" w:cs="Times New Roman"/>
      <w:b/>
      <w:bCs/>
      <w:sz w:val="27"/>
      <w:szCs w:val="27"/>
      <w:lang w:eastAsia="de-DE"/>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cs="Times New Roman"/>
      <w:sz w:val="20"/>
      <w:szCs w:val="20"/>
      <w:lang w:eastAsia="de-DE"/>
    </w:rPr>
  </w:style>
  <w:style w:type="character" w:customStyle="1" w:styleId="ITATextZchn">
    <w:name w:val="ITA Text Zchn"/>
    <w:basedOn w:val="Absatz-Standardschriftart"/>
    <w:link w:val="ITAText"/>
    <w:locked/>
    <w:rPr>
      <w:rFonts w:ascii="Times New Roman" w:hAnsi="Times New Roman" w:cs="Times New Roman"/>
      <w:sz w:val="24"/>
      <w:szCs w:val="24"/>
      <w:lang w:eastAsia="de-DE"/>
    </w:rPr>
  </w:style>
  <w:style w:type="paragraph" w:customStyle="1" w:styleId="ITAText">
    <w:name w:val="ITA Text"/>
    <w:link w:val="ITATextZchn"/>
    <w:pPr>
      <w:spacing w:after="0"/>
      <w:jc w:val="both"/>
    </w:pPr>
    <w:rPr>
      <w:rFonts w:ascii="Times New Roman" w:hAnsi="Times New Roman" w:cs="Times New Roman"/>
      <w:sz w:val="24"/>
      <w:szCs w:val="24"/>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pPr>
      <w:spacing w:after="0" w:line="240" w:lineRule="auto"/>
    </w:pPr>
    <w:rPr>
      <w:rFonts w:ascii="Arial"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3860">
      <w:bodyDiv w:val="1"/>
      <w:marLeft w:val="0"/>
      <w:marRight w:val="0"/>
      <w:marTop w:val="0"/>
      <w:marBottom w:val="0"/>
      <w:divBdr>
        <w:top w:val="none" w:sz="0" w:space="0" w:color="auto"/>
        <w:left w:val="none" w:sz="0" w:space="0" w:color="auto"/>
        <w:bottom w:val="none" w:sz="0" w:space="0" w:color="auto"/>
        <w:right w:val="none" w:sz="0" w:space="0" w:color="auto"/>
      </w:divBdr>
    </w:div>
    <w:div w:id="333799380">
      <w:bodyDiv w:val="1"/>
      <w:marLeft w:val="0"/>
      <w:marRight w:val="0"/>
      <w:marTop w:val="0"/>
      <w:marBottom w:val="0"/>
      <w:divBdr>
        <w:top w:val="none" w:sz="0" w:space="0" w:color="auto"/>
        <w:left w:val="none" w:sz="0" w:space="0" w:color="auto"/>
        <w:bottom w:val="none" w:sz="0" w:space="0" w:color="auto"/>
        <w:right w:val="none" w:sz="0" w:space="0" w:color="auto"/>
      </w:divBdr>
    </w:div>
    <w:div w:id="356588015">
      <w:bodyDiv w:val="1"/>
      <w:marLeft w:val="0"/>
      <w:marRight w:val="0"/>
      <w:marTop w:val="0"/>
      <w:marBottom w:val="0"/>
      <w:divBdr>
        <w:top w:val="none" w:sz="0" w:space="0" w:color="auto"/>
        <w:left w:val="none" w:sz="0" w:space="0" w:color="auto"/>
        <w:bottom w:val="none" w:sz="0" w:space="0" w:color="auto"/>
        <w:right w:val="none" w:sz="0" w:space="0" w:color="auto"/>
      </w:divBdr>
    </w:div>
    <w:div w:id="402681611">
      <w:bodyDiv w:val="1"/>
      <w:marLeft w:val="0"/>
      <w:marRight w:val="0"/>
      <w:marTop w:val="0"/>
      <w:marBottom w:val="0"/>
      <w:divBdr>
        <w:top w:val="none" w:sz="0" w:space="0" w:color="auto"/>
        <w:left w:val="none" w:sz="0" w:space="0" w:color="auto"/>
        <w:bottom w:val="none" w:sz="0" w:space="0" w:color="auto"/>
        <w:right w:val="none" w:sz="0" w:space="0" w:color="auto"/>
      </w:divBdr>
    </w:div>
    <w:div w:id="545800833">
      <w:bodyDiv w:val="1"/>
      <w:marLeft w:val="0"/>
      <w:marRight w:val="0"/>
      <w:marTop w:val="0"/>
      <w:marBottom w:val="0"/>
      <w:divBdr>
        <w:top w:val="none" w:sz="0" w:space="0" w:color="auto"/>
        <w:left w:val="none" w:sz="0" w:space="0" w:color="auto"/>
        <w:bottom w:val="none" w:sz="0" w:space="0" w:color="auto"/>
        <w:right w:val="none" w:sz="0" w:space="0" w:color="auto"/>
      </w:divBdr>
    </w:div>
    <w:div w:id="558056789">
      <w:bodyDiv w:val="1"/>
      <w:marLeft w:val="0"/>
      <w:marRight w:val="0"/>
      <w:marTop w:val="0"/>
      <w:marBottom w:val="0"/>
      <w:divBdr>
        <w:top w:val="none" w:sz="0" w:space="0" w:color="auto"/>
        <w:left w:val="none" w:sz="0" w:space="0" w:color="auto"/>
        <w:bottom w:val="none" w:sz="0" w:space="0" w:color="auto"/>
        <w:right w:val="none" w:sz="0" w:space="0" w:color="auto"/>
      </w:divBdr>
      <w:divsChild>
        <w:div w:id="402680135">
          <w:marLeft w:val="0"/>
          <w:marRight w:val="0"/>
          <w:marTop w:val="0"/>
          <w:marBottom w:val="0"/>
          <w:divBdr>
            <w:top w:val="none" w:sz="0" w:space="0" w:color="auto"/>
            <w:left w:val="none" w:sz="0" w:space="0" w:color="auto"/>
            <w:bottom w:val="none" w:sz="0" w:space="0" w:color="auto"/>
            <w:right w:val="none" w:sz="0" w:space="0" w:color="auto"/>
          </w:divBdr>
        </w:div>
        <w:div w:id="1637679760">
          <w:marLeft w:val="0"/>
          <w:marRight w:val="0"/>
          <w:marTop w:val="0"/>
          <w:marBottom w:val="0"/>
          <w:divBdr>
            <w:top w:val="none" w:sz="0" w:space="0" w:color="auto"/>
            <w:left w:val="none" w:sz="0" w:space="0" w:color="auto"/>
            <w:bottom w:val="none" w:sz="0" w:space="0" w:color="auto"/>
            <w:right w:val="none" w:sz="0" w:space="0" w:color="auto"/>
          </w:divBdr>
        </w:div>
        <w:div w:id="1645428948">
          <w:marLeft w:val="0"/>
          <w:marRight w:val="0"/>
          <w:marTop w:val="0"/>
          <w:marBottom w:val="0"/>
          <w:divBdr>
            <w:top w:val="none" w:sz="0" w:space="0" w:color="auto"/>
            <w:left w:val="none" w:sz="0" w:space="0" w:color="auto"/>
            <w:bottom w:val="none" w:sz="0" w:space="0" w:color="auto"/>
            <w:right w:val="none" w:sz="0" w:space="0" w:color="auto"/>
          </w:divBdr>
        </w:div>
      </w:divsChild>
    </w:div>
    <w:div w:id="667826499">
      <w:bodyDiv w:val="1"/>
      <w:marLeft w:val="0"/>
      <w:marRight w:val="0"/>
      <w:marTop w:val="0"/>
      <w:marBottom w:val="0"/>
      <w:divBdr>
        <w:top w:val="none" w:sz="0" w:space="0" w:color="auto"/>
        <w:left w:val="none" w:sz="0" w:space="0" w:color="auto"/>
        <w:bottom w:val="none" w:sz="0" w:space="0" w:color="auto"/>
        <w:right w:val="none" w:sz="0" w:space="0" w:color="auto"/>
      </w:divBdr>
    </w:div>
    <w:div w:id="998921376">
      <w:bodyDiv w:val="1"/>
      <w:marLeft w:val="0"/>
      <w:marRight w:val="0"/>
      <w:marTop w:val="0"/>
      <w:marBottom w:val="0"/>
      <w:divBdr>
        <w:top w:val="none" w:sz="0" w:space="0" w:color="auto"/>
        <w:left w:val="none" w:sz="0" w:space="0" w:color="auto"/>
        <w:bottom w:val="none" w:sz="0" w:space="0" w:color="auto"/>
        <w:right w:val="none" w:sz="0" w:space="0" w:color="auto"/>
      </w:divBdr>
      <w:divsChild>
        <w:div w:id="590435529">
          <w:marLeft w:val="0"/>
          <w:marRight w:val="0"/>
          <w:marTop w:val="0"/>
          <w:marBottom w:val="0"/>
          <w:divBdr>
            <w:top w:val="none" w:sz="0" w:space="0" w:color="auto"/>
            <w:left w:val="none" w:sz="0" w:space="0" w:color="auto"/>
            <w:bottom w:val="none" w:sz="0" w:space="0" w:color="auto"/>
            <w:right w:val="none" w:sz="0" w:space="0" w:color="auto"/>
          </w:divBdr>
        </w:div>
        <w:div w:id="941690592">
          <w:marLeft w:val="0"/>
          <w:marRight w:val="0"/>
          <w:marTop w:val="0"/>
          <w:marBottom w:val="0"/>
          <w:divBdr>
            <w:top w:val="none" w:sz="0" w:space="0" w:color="auto"/>
            <w:left w:val="none" w:sz="0" w:space="0" w:color="auto"/>
            <w:bottom w:val="none" w:sz="0" w:space="0" w:color="auto"/>
            <w:right w:val="none" w:sz="0" w:space="0" w:color="auto"/>
          </w:divBdr>
        </w:div>
        <w:div w:id="933902477">
          <w:marLeft w:val="0"/>
          <w:marRight w:val="0"/>
          <w:marTop w:val="0"/>
          <w:marBottom w:val="0"/>
          <w:divBdr>
            <w:top w:val="none" w:sz="0" w:space="0" w:color="auto"/>
            <w:left w:val="none" w:sz="0" w:space="0" w:color="auto"/>
            <w:bottom w:val="none" w:sz="0" w:space="0" w:color="auto"/>
            <w:right w:val="none" w:sz="0" w:space="0" w:color="auto"/>
          </w:divBdr>
        </w:div>
        <w:div w:id="595557772">
          <w:marLeft w:val="0"/>
          <w:marRight w:val="0"/>
          <w:marTop w:val="0"/>
          <w:marBottom w:val="0"/>
          <w:divBdr>
            <w:top w:val="none" w:sz="0" w:space="0" w:color="auto"/>
            <w:left w:val="none" w:sz="0" w:space="0" w:color="auto"/>
            <w:bottom w:val="none" w:sz="0" w:space="0" w:color="auto"/>
            <w:right w:val="none" w:sz="0" w:space="0" w:color="auto"/>
          </w:divBdr>
        </w:div>
        <w:div w:id="25644142">
          <w:marLeft w:val="0"/>
          <w:marRight w:val="0"/>
          <w:marTop w:val="0"/>
          <w:marBottom w:val="0"/>
          <w:divBdr>
            <w:top w:val="none" w:sz="0" w:space="0" w:color="auto"/>
            <w:left w:val="none" w:sz="0" w:space="0" w:color="auto"/>
            <w:bottom w:val="none" w:sz="0" w:space="0" w:color="auto"/>
            <w:right w:val="none" w:sz="0" w:space="0" w:color="auto"/>
          </w:divBdr>
        </w:div>
        <w:div w:id="892084851">
          <w:marLeft w:val="0"/>
          <w:marRight w:val="0"/>
          <w:marTop w:val="0"/>
          <w:marBottom w:val="0"/>
          <w:divBdr>
            <w:top w:val="none" w:sz="0" w:space="0" w:color="auto"/>
            <w:left w:val="none" w:sz="0" w:space="0" w:color="auto"/>
            <w:bottom w:val="none" w:sz="0" w:space="0" w:color="auto"/>
            <w:right w:val="none" w:sz="0" w:space="0" w:color="auto"/>
          </w:divBdr>
        </w:div>
        <w:div w:id="960113328">
          <w:marLeft w:val="0"/>
          <w:marRight w:val="0"/>
          <w:marTop w:val="0"/>
          <w:marBottom w:val="0"/>
          <w:divBdr>
            <w:top w:val="none" w:sz="0" w:space="0" w:color="auto"/>
            <w:left w:val="none" w:sz="0" w:space="0" w:color="auto"/>
            <w:bottom w:val="none" w:sz="0" w:space="0" w:color="auto"/>
            <w:right w:val="none" w:sz="0" w:space="0" w:color="auto"/>
          </w:divBdr>
        </w:div>
        <w:div w:id="1089350568">
          <w:marLeft w:val="0"/>
          <w:marRight w:val="0"/>
          <w:marTop w:val="0"/>
          <w:marBottom w:val="0"/>
          <w:divBdr>
            <w:top w:val="none" w:sz="0" w:space="0" w:color="auto"/>
            <w:left w:val="none" w:sz="0" w:space="0" w:color="auto"/>
            <w:bottom w:val="none" w:sz="0" w:space="0" w:color="auto"/>
            <w:right w:val="none" w:sz="0" w:space="0" w:color="auto"/>
          </w:divBdr>
        </w:div>
        <w:div w:id="1322346693">
          <w:marLeft w:val="0"/>
          <w:marRight w:val="0"/>
          <w:marTop w:val="0"/>
          <w:marBottom w:val="0"/>
          <w:divBdr>
            <w:top w:val="none" w:sz="0" w:space="0" w:color="auto"/>
            <w:left w:val="none" w:sz="0" w:space="0" w:color="auto"/>
            <w:bottom w:val="none" w:sz="0" w:space="0" w:color="auto"/>
            <w:right w:val="none" w:sz="0" w:space="0" w:color="auto"/>
          </w:divBdr>
        </w:div>
        <w:div w:id="2106143691">
          <w:marLeft w:val="0"/>
          <w:marRight w:val="0"/>
          <w:marTop w:val="0"/>
          <w:marBottom w:val="0"/>
          <w:divBdr>
            <w:top w:val="none" w:sz="0" w:space="0" w:color="auto"/>
            <w:left w:val="none" w:sz="0" w:space="0" w:color="auto"/>
            <w:bottom w:val="none" w:sz="0" w:space="0" w:color="auto"/>
            <w:right w:val="none" w:sz="0" w:space="0" w:color="auto"/>
          </w:divBdr>
        </w:div>
        <w:div w:id="2127652073">
          <w:marLeft w:val="0"/>
          <w:marRight w:val="0"/>
          <w:marTop w:val="0"/>
          <w:marBottom w:val="0"/>
          <w:divBdr>
            <w:top w:val="none" w:sz="0" w:space="0" w:color="auto"/>
            <w:left w:val="none" w:sz="0" w:space="0" w:color="auto"/>
            <w:bottom w:val="none" w:sz="0" w:space="0" w:color="auto"/>
            <w:right w:val="none" w:sz="0" w:space="0" w:color="auto"/>
          </w:divBdr>
        </w:div>
        <w:div w:id="1381442854">
          <w:marLeft w:val="0"/>
          <w:marRight w:val="0"/>
          <w:marTop w:val="0"/>
          <w:marBottom w:val="0"/>
          <w:divBdr>
            <w:top w:val="none" w:sz="0" w:space="0" w:color="auto"/>
            <w:left w:val="none" w:sz="0" w:space="0" w:color="auto"/>
            <w:bottom w:val="none" w:sz="0" w:space="0" w:color="auto"/>
            <w:right w:val="none" w:sz="0" w:space="0" w:color="auto"/>
          </w:divBdr>
        </w:div>
        <w:div w:id="1173109084">
          <w:marLeft w:val="0"/>
          <w:marRight w:val="0"/>
          <w:marTop w:val="0"/>
          <w:marBottom w:val="0"/>
          <w:divBdr>
            <w:top w:val="none" w:sz="0" w:space="0" w:color="auto"/>
            <w:left w:val="none" w:sz="0" w:space="0" w:color="auto"/>
            <w:bottom w:val="none" w:sz="0" w:space="0" w:color="auto"/>
            <w:right w:val="none" w:sz="0" w:space="0" w:color="auto"/>
          </w:divBdr>
        </w:div>
        <w:div w:id="454450458">
          <w:marLeft w:val="0"/>
          <w:marRight w:val="0"/>
          <w:marTop w:val="0"/>
          <w:marBottom w:val="0"/>
          <w:divBdr>
            <w:top w:val="none" w:sz="0" w:space="0" w:color="auto"/>
            <w:left w:val="none" w:sz="0" w:space="0" w:color="auto"/>
            <w:bottom w:val="none" w:sz="0" w:space="0" w:color="auto"/>
            <w:right w:val="none" w:sz="0" w:space="0" w:color="auto"/>
          </w:divBdr>
        </w:div>
        <w:div w:id="1567304409">
          <w:marLeft w:val="0"/>
          <w:marRight w:val="0"/>
          <w:marTop w:val="0"/>
          <w:marBottom w:val="0"/>
          <w:divBdr>
            <w:top w:val="none" w:sz="0" w:space="0" w:color="auto"/>
            <w:left w:val="none" w:sz="0" w:space="0" w:color="auto"/>
            <w:bottom w:val="none" w:sz="0" w:space="0" w:color="auto"/>
            <w:right w:val="none" w:sz="0" w:space="0" w:color="auto"/>
          </w:divBdr>
        </w:div>
        <w:div w:id="1320844435">
          <w:marLeft w:val="0"/>
          <w:marRight w:val="0"/>
          <w:marTop w:val="0"/>
          <w:marBottom w:val="0"/>
          <w:divBdr>
            <w:top w:val="none" w:sz="0" w:space="0" w:color="auto"/>
            <w:left w:val="none" w:sz="0" w:space="0" w:color="auto"/>
            <w:bottom w:val="none" w:sz="0" w:space="0" w:color="auto"/>
            <w:right w:val="none" w:sz="0" w:space="0" w:color="auto"/>
          </w:divBdr>
        </w:div>
        <w:div w:id="1369061643">
          <w:marLeft w:val="0"/>
          <w:marRight w:val="0"/>
          <w:marTop w:val="0"/>
          <w:marBottom w:val="0"/>
          <w:divBdr>
            <w:top w:val="none" w:sz="0" w:space="0" w:color="auto"/>
            <w:left w:val="none" w:sz="0" w:space="0" w:color="auto"/>
            <w:bottom w:val="none" w:sz="0" w:space="0" w:color="auto"/>
            <w:right w:val="none" w:sz="0" w:space="0" w:color="auto"/>
          </w:divBdr>
        </w:div>
        <w:div w:id="1691177769">
          <w:marLeft w:val="0"/>
          <w:marRight w:val="0"/>
          <w:marTop w:val="0"/>
          <w:marBottom w:val="0"/>
          <w:divBdr>
            <w:top w:val="none" w:sz="0" w:space="0" w:color="auto"/>
            <w:left w:val="none" w:sz="0" w:space="0" w:color="auto"/>
            <w:bottom w:val="none" w:sz="0" w:space="0" w:color="auto"/>
            <w:right w:val="none" w:sz="0" w:space="0" w:color="auto"/>
          </w:divBdr>
        </w:div>
        <w:div w:id="1594507070">
          <w:marLeft w:val="0"/>
          <w:marRight w:val="0"/>
          <w:marTop w:val="0"/>
          <w:marBottom w:val="0"/>
          <w:divBdr>
            <w:top w:val="none" w:sz="0" w:space="0" w:color="auto"/>
            <w:left w:val="none" w:sz="0" w:space="0" w:color="auto"/>
            <w:bottom w:val="none" w:sz="0" w:space="0" w:color="auto"/>
            <w:right w:val="none" w:sz="0" w:space="0" w:color="auto"/>
          </w:divBdr>
        </w:div>
        <w:div w:id="1309285003">
          <w:marLeft w:val="0"/>
          <w:marRight w:val="0"/>
          <w:marTop w:val="0"/>
          <w:marBottom w:val="0"/>
          <w:divBdr>
            <w:top w:val="none" w:sz="0" w:space="0" w:color="auto"/>
            <w:left w:val="none" w:sz="0" w:space="0" w:color="auto"/>
            <w:bottom w:val="none" w:sz="0" w:space="0" w:color="auto"/>
            <w:right w:val="none" w:sz="0" w:space="0" w:color="auto"/>
          </w:divBdr>
        </w:div>
        <w:div w:id="1274289477">
          <w:marLeft w:val="0"/>
          <w:marRight w:val="0"/>
          <w:marTop w:val="0"/>
          <w:marBottom w:val="0"/>
          <w:divBdr>
            <w:top w:val="none" w:sz="0" w:space="0" w:color="auto"/>
            <w:left w:val="none" w:sz="0" w:space="0" w:color="auto"/>
            <w:bottom w:val="none" w:sz="0" w:space="0" w:color="auto"/>
            <w:right w:val="none" w:sz="0" w:space="0" w:color="auto"/>
          </w:divBdr>
        </w:div>
        <w:div w:id="1913925076">
          <w:marLeft w:val="0"/>
          <w:marRight w:val="0"/>
          <w:marTop w:val="0"/>
          <w:marBottom w:val="0"/>
          <w:divBdr>
            <w:top w:val="none" w:sz="0" w:space="0" w:color="auto"/>
            <w:left w:val="none" w:sz="0" w:space="0" w:color="auto"/>
            <w:bottom w:val="none" w:sz="0" w:space="0" w:color="auto"/>
            <w:right w:val="none" w:sz="0" w:space="0" w:color="auto"/>
          </w:divBdr>
        </w:div>
        <w:div w:id="682828801">
          <w:marLeft w:val="0"/>
          <w:marRight w:val="0"/>
          <w:marTop w:val="0"/>
          <w:marBottom w:val="0"/>
          <w:divBdr>
            <w:top w:val="none" w:sz="0" w:space="0" w:color="auto"/>
            <w:left w:val="none" w:sz="0" w:space="0" w:color="auto"/>
            <w:bottom w:val="none" w:sz="0" w:space="0" w:color="auto"/>
            <w:right w:val="none" w:sz="0" w:space="0" w:color="auto"/>
          </w:divBdr>
        </w:div>
        <w:div w:id="1411734305">
          <w:marLeft w:val="0"/>
          <w:marRight w:val="0"/>
          <w:marTop w:val="0"/>
          <w:marBottom w:val="0"/>
          <w:divBdr>
            <w:top w:val="none" w:sz="0" w:space="0" w:color="auto"/>
            <w:left w:val="none" w:sz="0" w:space="0" w:color="auto"/>
            <w:bottom w:val="none" w:sz="0" w:space="0" w:color="auto"/>
            <w:right w:val="none" w:sz="0" w:space="0" w:color="auto"/>
          </w:divBdr>
        </w:div>
        <w:div w:id="871383378">
          <w:marLeft w:val="0"/>
          <w:marRight w:val="0"/>
          <w:marTop w:val="0"/>
          <w:marBottom w:val="0"/>
          <w:divBdr>
            <w:top w:val="none" w:sz="0" w:space="0" w:color="auto"/>
            <w:left w:val="none" w:sz="0" w:space="0" w:color="auto"/>
            <w:bottom w:val="none" w:sz="0" w:space="0" w:color="auto"/>
            <w:right w:val="none" w:sz="0" w:space="0" w:color="auto"/>
          </w:divBdr>
        </w:div>
        <w:div w:id="140389535">
          <w:marLeft w:val="0"/>
          <w:marRight w:val="0"/>
          <w:marTop w:val="0"/>
          <w:marBottom w:val="0"/>
          <w:divBdr>
            <w:top w:val="none" w:sz="0" w:space="0" w:color="auto"/>
            <w:left w:val="none" w:sz="0" w:space="0" w:color="auto"/>
            <w:bottom w:val="none" w:sz="0" w:space="0" w:color="auto"/>
            <w:right w:val="none" w:sz="0" w:space="0" w:color="auto"/>
          </w:divBdr>
        </w:div>
        <w:div w:id="1374235310">
          <w:marLeft w:val="0"/>
          <w:marRight w:val="0"/>
          <w:marTop w:val="0"/>
          <w:marBottom w:val="0"/>
          <w:divBdr>
            <w:top w:val="none" w:sz="0" w:space="0" w:color="auto"/>
            <w:left w:val="none" w:sz="0" w:space="0" w:color="auto"/>
            <w:bottom w:val="none" w:sz="0" w:space="0" w:color="auto"/>
            <w:right w:val="none" w:sz="0" w:space="0" w:color="auto"/>
          </w:divBdr>
        </w:div>
        <w:div w:id="1763836507">
          <w:marLeft w:val="0"/>
          <w:marRight w:val="0"/>
          <w:marTop w:val="0"/>
          <w:marBottom w:val="0"/>
          <w:divBdr>
            <w:top w:val="none" w:sz="0" w:space="0" w:color="auto"/>
            <w:left w:val="none" w:sz="0" w:space="0" w:color="auto"/>
            <w:bottom w:val="none" w:sz="0" w:space="0" w:color="auto"/>
            <w:right w:val="none" w:sz="0" w:space="0" w:color="auto"/>
          </w:divBdr>
        </w:div>
        <w:div w:id="1961494366">
          <w:marLeft w:val="0"/>
          <w:marRight w:val="0"/>
          <w:marTop w:val="0"/>
          <w:marBottom w:val="0"/>
          <w:divBdr>
            <w:top w:val="none" w:sz="0" w:space="0" w:color="auto"/>
            <w:left w:val="none" w:sz="0" w:space="0" w:color="auto"/>
            <w:bottom w:val="none" w:sz="0" w:space="0" w:color="auto"/>
            <w:right w:val="none" w:sz="0" w:space="0" w:color="auto"/>
          </w:divBdr>
        </w:div>
        <w:div w:id="1002662005">
          <w:marLeft w:val="0"/>
          <w:marRight w:val="0"/>
          <w:marTop w:val="0"/>
          <w:marBottom w:val="0"/>
          <w:divBdr>
            <w:top w:val="none" w:sz="0" w:space="0" w:color="auto"/>
            <w:left w:val="none" w:sz="0" w:space="0" w:color="auto"/>
            <w:bottom w:val="none" w:sz="0" w:space="0" w:color="auto"/>
            <w:right w:val="none" w:sz="0" w:space="0" w:color="auto"/>
          </w:divBdr>
        </w:div>
        <w:div w:id="129443980">
          <w:marLeft w:val="0"/>
          <w:marRight w:val="0"/>
          <w:marTop w:val="0"/>
          <w:marBottom w:val="0"/>
          <w:divBdr>
            <w:top w:val="none" w:sz="0" w:space="0" w:color="auto"/>
            <w:left w:val="none" w:sz="0" w:space="0" w:color="auto"/>
            <w:bottom w:val="none" w:sz="0" w:space="0" w:color="auto"/>
            <w:right w:val="none" w:sz="0" w:space="0" w:color="auto"/>
          </w:divBdr>
        </w:div>
        <w:div w:id="612590362">
          <w:marLeft w:val="0"/>
          <w:marRight w:val="0"/>
          <w:marTop w:val="0"/>
          <w:marBottom w:val="0"/>
          <w:divBdr>
            <w:top w:val="none" w:sz="0" w:space="0" w:color="auto"/>
            <w:left w:val="none" w:sz="0" w:space="0" w:color="auto"/>
            <w:bottom w:val="none" w:sz="0" w:space="0" w:color="auto"/>
            <w:right w:val="none" w:sz="0" w:space="0" w:color="auto"/>
          </w:divBdr>
        </w:div>
        <w:div w:id="1908375238">
          <w:marLeft w:val="0"/>
          <w:marRight w:val="0"/>
          <w:marTop w:val="0"/>
          <w:marBottom w:val="0"/>
          <w:divBdr>
            <w:top w:val="none" w:sz="0" w:space="0" w:color="auto"/>
            <w:left w:val="none" w:sz="0" w:space="0" w:color="auto"/>
            <w:bottom w:val="none" w:sz="0" w:space="0" w:color="auto"/>
            <w:right w:val="none" w:sz="0" w:space="0" w:color="auto"/>
          </w:divBdr>
        </w:div>
        <w:div w:id="564219880">
          <w:marLeft w:val="0"/>
          <w:marRight w:val="0"/>
          <w:marTop w:val="0"/>
          <w:marBottom w:val="0"/>
          <w:divBdr>
            <w:top w:val="none" w:sz="0" w:space="0" w:color="auto"/>
            <w:left w:val="none" w:sz="0" w:space="0" w:color="auto"/>
            <w:bottom w:val="none" w:sz="0" w:space="0" w:color="auto"/>
            <w:right w:val="none" w:sz="0" w:space="0" w:color="auto"/>
          </w:divBdr>
        </w:div>
        <w:div w:id="597523663">
          <w:marLeft w:val="0"/>
          <w:marRight w:val="0"/>
          <w:marTop w:val="0"/>
          <w:marBottom w:val="0"/>
          <w:divBdr>
            <w:top w:val="none" w:sz="0" w:space="0" w:color="auto"/>
            <w:left w:val="none" w:sz="0" w:space="0" w:color="auto"/>
            <w:bottom w:val="none" w:sz="0" w:space="0" w:color="auto"/>
            <w:right w:val="none" w:sz="0" w:space="0" w:color="auto"/>
          </w:divBdr>
        </w:div>
        <w:div w:id="1274820801">
          <w:marLeft w:val="0"/>
          <w:marRight w:val="0"/>
          <w:marTop w:val="0"/>
          <w:marBottom w:val="0"/>
          <w:divBdr>
            <w:top w:val="none" w:sz="0" w:space="0" w:color="auto"/>
            <w:left w:val="none" w:sz="0" w:space="0" w:color="auto"/>
            <w:bottom w:val="none" w:sz="0" w:space="0" w:color="auto"/>
            <w:right w:val="none" w:sz="0" w:space="0" w:color="auto"/>
          </w:divBdr>
        </w:div>
        <w:div w:id="1455058249">
          <w:marLeft w:val="0"/>
          <w:marRight w:val="0"/>
          <w:marTop w:val="0"/>
          <w:marBottom w:val="0"/>
          <w:divBdr>
            <w:top w:val="none" w:sz="0" w:space="0" w:color="auto"/>
            <w:left w:val="none" w:sz="0" w:space="0" w:color="auto"/>
            <w:bottom w:val="none" w:sz="0" w:space="0" w:color="auto"/>
            <w:right w:val="none" w:sz="0" w:space="0" w:color="auto"/>
          </w:divBdr>
        </w:div>
        <w:div w:id="947083522">
          <w:marLeft w:val="0"/>
          <w:marRight w:val="0"/>
          <w:marTop w:val="0"/>
          <w:marBottom w:val="0"/>
          <w:divBdr>
            <w:top w:val="none" w:sz="0" w:space="0" w:color="auto"/>
            <w:left w:val="none" w:sz="0" w:space="0" w:color="auto"/>
            <w:bottom w:val="none" w:sz="0" w:space="0" w:color="auto"/>
            <w:right w:val="none" w:sz="0" w:space="0" w:color="auto"/>
          </w:divBdr>
        </w:div>
        <w:div w:id="1019626866">
          <w:marLeft w:val="0"/>
          <w:marRight w:val="0"/>
          <w:marTop w:val="0"/>
          <w:marBottom w:val="0"/>
          <w:divBdr>
            <w:top w:val="none" w:sz="0" w:space="0" w:color="auto"/>
            <w:left w:val="none" w:sz="0" w:space="0" w:color="auto"/>
            <w:bottom w:val="none" w:sz="0" w:space="0" w:color="auto"/>
            <w:right w:val="none" w:sz="0" w:space="0" w:color="auto"/>
          </w:divBdr>
        </w:div>
        <w:div w:id="901018249">
          <w:marLeft w:val="0"/>
          <w:marRight w:val="0"/>
          <w:marTop w:val="0"/>
          <w:marBottom w:val="0"/>
          <w:divBdr>
            <w:top w:val="none" w:sz="0" w:space="0" w:color="auto"/>
            <w:left w:val="none" w:sz="0" w:space="0" w:color="auto"/>
            <w:bottom w:val="none" w:sz="0" w:space="0" w:color="auto"/>
            <w:right w:val="none" w:sz="0" w:space="0" w:color="auto"/>
          </w:divBdr>
        </w:div>
        <w:div w:id="633873025">
          <w:marLeft w:val="0"/>
          <w:marRight w:val="0"/>
          <w:marTop w:val="0"/>
          <w:marBottom w:val="0"/>
          <w:divBdr>
            <w:top w:val="none" w:sz="0" w:space="0" w:color="auto"/>
            <w:left w:val="none" w:sz="0" w:space="0" w:color="auto"/>
            <w:bottom w:val="none" w:sz="0" w:space="0" w:color="auto"/>
            <w:right w:val="none" w:sz="0" w:space="0" w:color="auto"/>
          </w:divBdr>
        </w:div>
        <w:div w:id="781344806">
          <w:marLeft w:val="0"/>
          <w:marRight w:val="0"/>
          <w:marTop w:val="0"/>
          <w:marBottom w:val="0"/>
          <w:divBdr>
            <w:top w:val="none" w:sz="0" w:space="0" w:color="auto"/>
            <w:left w:val="none" w:sz="0" w:space="0" w:color="auto"/>
            <w:bottom w:val="none" w:sz="0" w:space="0" w:color="auto"/>
            <w:right w:val="none" w:sz="0" w:space="0" w:color="auto"/>
          </w:divBdr>
        </w:div>
      </w:divsChild>
    </w:div>
    <w:div w:id="1281761344">
      <w:bodyDiv w:val="1"/>
      <w:marLeft w:val="0"/>
      <w:marRight w:val="0"/>
      <w:marTop w:val="0"/>
      <w:marBottom w:val="0"/>
      <w:divBdr>
        <w:top w:val="none" w:sz="0" w:space="0" w:color="auto"/>
        <w:left w:val="none" w:sz="0" w:space="0" w:color="auto"/>
        <w:bottom w:val="none" w:sz="0" w:space="0" w:color="auto"/>
        <w:right w:val="none" w:sz="0" w:space="0" w:color="auto"/>
      </w:divBdr>
    </w:div>
    <w:div w:id="1714188001">
      <w:bodyDiv w:val="1"/>
      <w:marLeft w:val="0"/>
      <w:marRight w:val="0"/>
      <w:marTop w:val="0"/>
      <w:marBottom w:val="0"/>
      <w:divBdr>
        <w:top w:val="none" w:sz="0" w:space="0" w:color="auto"/>
        <w:left w:val="none" w:sz="0" w:space="0" w:color="auto"/>
        <w:bottom w:val="none" w:sz="0" w:space="0" w:color="auto"/>
        <w:right w:val="none" w:sz="0" w:space="0" w:color="auto"/>
      </w:divBdr>
      <w:divsChild>
        <w:div w:id="1506017951">
          <w:marLeft w:val="0"/>
          <w:marRight w:val="0"/>
          <w:marTop w:val="0"/>
          <w:marBottom w:val="0"/>
          <w:divBdr>
            <w:top w:val="none" w:sz="0" w:space="0" w:color="auto"/>
            <w:left w:val="none" w:sz="0" w:space="0" w:color="auto"/>
            <w:bottom w:val="none" w:sz="0" w:space="0" w:color="auto"/>
            <w:right w:val="none" w:sz="0" w:space="0" w:color="auto"/>
          </w:divBdr>
        </w:div>
        <w:div w:id="298535240">
          <w:marLeft w:val="0"/>
          <w:marRight w:val="0"/>
          <w:marTop w:val="0"/>
          <w:marBottom w:val="0"/>
          <w:divBdr>
            <w:top w:val="none" w:sz="0" w:space="0" w:color="auto"/>
            <w:left w:val="none" w:sz="0" w:space="0" w:color="auto"/>
            <w:bottom w:val="none" w:sz="0" w:space="0" w:color="auto"/>
            <w:right w:val="none" w:sz="0" w:space="0" w:color="auto"/>
          </w:divBdr>
        </w:div>
        <w:div w:id="1982347377">
          <w:marLeft w:val="0"/>
          <w:marRight w:val="0"/>
          <w:marTop w:val="0"/>
          <w:marBottom w:val="0"/>
          <w:divBdr>
            <w:top w:val="none" w:sz="0" w:space="0" w:color="auto"/>
            <w:left w:val="none" w:sz="0" w:space="0" w:color="auto"/>
            <w:bottom w:val="none" w:sz="0" w:space="0" w:color="auto"/>
            <w:right w:val="none" w:sz="0" w:space="0" w:color="auto"/>
          </w:divBdr>
        </w:div>
        <w:div w:id="1404568387">
          <w:marLeft w:val="0"/>
          <w:marRight w:val="0"/>
          <w:marTop w:val="0"/>
          <w:marBottom w:val="0"/>
          <w:divBdr>
            <w:top w:val="none" w:sz="0" w:space="0" w:color="auto"/>
            <w:left w:val="none" w:sz="0" w:space="0" w:color="auto"/>
            <w:bottom w:val="none" w:sz="0" w:space="0" w:color="auto"/>
            <w:right w:val="none" w:sz="0" w:space="0" w:color="auto"/>
          </w:divBdr>
        </w:div>
        <w:div w:id="460730891">
          <w:marLeft w:val="0"/>
          <w:marRight w:val="0"/>
          <w:marTop w:val="0"/>
          <w:marBottom w:val="0"/>
          <w:divBdr>
            <w:top w:val="none" w:sz="0" w:space="0" w:color="auto"/>
            <w:left w:val="none" w:sz="0" w:space="0" w:color="auto"/>
            <w:bottom w:val="none" w:sz="0" w:space="0" w:color="auto"/>
            <w:right w:val="none" w:sz="0" w:space="0" w:color="auto"/>
          </w:divBdr>
        </w:div>
      </w:divsChild>
    </w:div>
    <w:div w:id="2072461952">
      <w:bodyDiv w:val="1"/>
      <w:marLeft w:val="0"/>
      <w:marRight w:val="0"/>
      <w:marTop w:val="0"/>
      <w:marBottom w:val="0"/>
      <w:divBdr>
        <w:top w:val="none" w:sz="0" w:space="0" w:color="auto"/>
        <w:left w:val="none" w:sz="0" w:space="0" w:color="auto"/>
        <w:bottom w:val="none" w:sz="0" w:space="0" w:color="auto"/>
        <w:right w:val="none" w:sz="0" w:space="0" w:color="auto"/>
      </w:divBdr>
    </w:div>
    <w:div w:id="210391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iuk-bayern.de/download/dokumente/eugemeinschaftsrahme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foerderportal.bund.de/easy/module/profi_formularschrank/download.php?datei1=219" TargetMode="External"/><Relationship Id="rId2" Type="http://schemas.openxmlformats.org/officeDocument/2006/relationships/numbering" Target="numbering.xml"/><Relationship Id="rId16" Type="http://schemas.openxmlformats.org/officeDocument/2006/relationships/hyperlink" Target="http://eur-lex.europa.eu/legal-content/DE/TXT/PDF/?uri=CELEX:32003H0361&amp;from=D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ur-lex.europa.eu/legal-content/DE/LSU/?uri=CELEX:52014XC0627(01)" TargetMode="External"/><Relationship Id="rId10" Type="http://schemas.openxmlformats.org/officeDocument/2006/relationships/footer" Target="footer1.xml"/><Relationship Id="rId19" Type="http://schemas.openxmlformats.org/officeDocument/2006/relationships/hyperlink" Target="https://foerderportal.bund.de/easy/module/easy_formulare/download.php?datei=19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undesbericht-forschung-innovation.de/de/Grundfinanzierung-der-Forschungseinrichtungen-1789.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vdivde-it.de/formulare-fuer-foerderprojekt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9366C-5D86-4EF8-99EC-7596D884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1951</Words>
  <Characters>12296</Characters>
  <Application>Microsoft Office Word</Application>
  <DocSecurity>4</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VDIVDE-IT</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Boysen, Mathias</dc:creator>
  <cp:lastModifiedBy>Boysen, Mathias</cp:lastModifiedBy>
  <cp:revision>2</cp:revision>
  <cp:lastPrinted>2017-06-01T07:32:00Z</cp:lastPrinted>
  <dcterms:created xsi:type="dcterms:W3CDTF">2020-06-10T10:24:00Z</dcterms:created>
  <dcterms:modified xsi:type="dcterms:W3CDTF">2020-06-10T10:24:00Z</dcterms:modified>
</cp:coreProperties>
</file>