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8" w:rsidRPr="003E1D27" w:rsidRDefault="006958C8" w:rsidP="006958C8">
      <w:pPr>
        <w:jc w:val="center"/>
        <w:rPr>
          <w:rFonts w:cs="Arial"/>
          <w:lang w:val="en-US"/>
        </w:rPr>
      </w:pPr>
      <w:r w:rsidRPr="003E1D27">
        <w:rPr>
          <w:rFonts w:cs="Arial"/>
          <w:lang w:val="en-US"/>
        </w:rPr>
        <w:t>Title</w:t>
      </w:r>
      <w:r w:rsidR="003E1D27" w:rsidRPr="003E1D27">
        <w:rPr>
          <w:rFonts w:cs="Arial"/>
          <w:lang w:val="en-US"/>
        </w:rPr>
        <w:t xml:space="preserve"> [</w:t>
      </w:r>
      <w:r w:rsidR="003E1D27" w:rsidRPr="003E1D27">
        <w:rPr>
          <w:rFonts w:cs="Arial"/>
          <w:i/>
          <w:lang w:val="en-US"/>
        </w:rPr>
        <w:t>Name of your institution</w:t>
      </w:r>
      <w:r w:rsidR="003E1D27" w:rsidRPr="003E1D27">
        <w:rPr>
          <w:rFonts w:cs="Arial"/>
          <w:lang w:val="en-US"/>
        </w:rPr>
        <w:t>]</w:t>
      </w:r>
    </w:p>
    <w:p w:rsidR="006958C8" w:rsidRPr="003E1D27" w:rsidRDefault="006958C8" w:rsidP="006958C8">
      <w:pPr>
        <w:rPr>
          <w:rFonts w:cs="Arial"/>
          <w:lang w:val="en-US"/>
        </w:rPr>
      </w:pPr>
    </w:p>
    <w:p w:rsidR="006958C8" w:rsidRPr="003E1D27" w:rsidRDefault="006958C8" w:rsidP="006958C8">
      <w:pPr>
        <w:rPr>
          <w:rFonts w:cs="Arial"/>
          <w:lang w:val="en-US"/>
        </w:rPr>
      </w:pPr>
    </w:p>
    <w:p w:rsidR="00C0774B" w:rsidRPr="00C0774B" w:rsidRDefault="00C0774B" w:rsidP="00C0774B">
      <w:pPr>
        <w:jc w:val="both"/>
        <w:rPr>
          <w:rFonts w:cs="Arial"/>
          <w:i/>
          <w:sz w:val="24"/>
        </w:rPr>
      </w:pPr>
      <w:r w:rsidRPr="00C0774B">
        <w:rPr>
          <w:rFonts w:cs="Arial"/>
          <w:i/>
          <w:sz w:val="24"/>
          <w:highlight w:val="yellow"/>
        </w:rPr>
        <w:t>Die Bewerbung erfordert eine schriftliche Bestätigung durch die Leitung der Forschungseinrichtung über die Beteiligung der betreffenden Einrichtung bzw. die Bereitstellung der im Rahmen der Skizze dargestellten Infrastrukturkapazitäten als EU-OPENSCREEN Partnereinrichtung.</w:t>
      </w:r>
    </w:p>
    <w:p w:rsidR="00C0774B" w:rsidRPr="00C0774B" w:rsidRDefault="00C0774B" w:rsidP="006958C8">
      <w:pPr>
        <w:rPr>
          <w:rFonts w:cs="Arial"/>
        </w:rPr>
      </w:pPr>
    </w:p>
    <w:p w:rsidR="00C0774B" w:rsidRDefault="00C0774B" w:rsidP="006958C8">
      <w:pPr>
        <w:rPr>
          <w:rFonts w:cs="Arial"/>
        </w:rPr>
      </w:pPr>
    </w:p>
    <w:p w:rsidR="003E1D27" w:rsidRPr="003E1D27" w:rsidRDefault="003E1D27" w:rsidP="006958C8">
      <w:pPr>
        <w:rPr>
          <w:rFonts w:cs="Arial"/>
          <w:lang w:val="en-US"/>
        </w:rPr>
      </w:pPr>
      <w:r w:rsidRPr="003E1D27">
        <w:rPr>
          <w:rFonts w:cs="Arial"/>
          <w:lang w:val="en-US"/>
        </w:rPr>
        <w:t>Please use the following formatting:</w:t>
      </w:r>
    </w:p>
    <w:p w:rsidR="003E1D27" w:rsidRDefault="003E1D27" w:rsidP="006958C8">
      <w:pPr>
        <w:rPr>
          <w:rFonts w:cs="Arial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3E1D27" w:rsidTr="003E1D27">
        <w:tc>
          <w:tcPr>
            <w:tcW w:w="1413" w:type="dxa"/>
          </w:tcPr>
          <w:p w:rsidR="003E1D27" w:rsidRDefault="003E1D27" w:rsidP="003E1D2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Font</w:t>
            </w:r>
          </w:p>
        </w:tc>
        <w:tc>
          <w:tcPr>
            <w:tcW w:w="7649" w:type="dxa"/>
          </w:tcPr>
          <w:p w:rsidR="003E1D27" w:rsidRDefault="003E1D27" w:rsidP="006958C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Arial</w:t>
            </w:r>
          </w:p>
        </w:tc>
      </w:tr>
      <w:tr w:rsidR="003E1D27" w:rsidTr="003E1D27">
        <w:tc>
          <w:tcPr>
            <w:tcW w:w="1413" w:type="dxa"/>
          </w:tcPr>
          <w:p w:rsidR="003E1D27" w:rsidRDefault="003E1D27" w:rsidP="003E1D2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Font Size</w:t>
            </w:r>
          </w:p>
        </w:tc>
        <w:tc>
          <w:tcPr>
            <w:tcW w:w="7649" w:type="dxa"/>
          </w:tcPr>
          <w:p w:rsidR="003E1D27" w:rsidRDefault="003E1D27" w:rsidP="006958C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</w:t>
            </w:r>
          </w:p>
        </w:tc>
      </w:tr>
      <w:tr w:rsidR="003E1D27" w:rsidTr="003E1D27">
        <w:tc>
          <w:tcPr>
            <w:tcW w:w="1413" w:type="dxa"/>
          </w:tcPr>
          <w:p w:rsidR="003E1D27" w:rsidRDefault="003E1D27" w:rsidP="003E1D2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Line Spacing</w:t>
            </w:r>
          </w:p>
        </w:tc>
        <w:tc>
          <w:tcPr>
            <w:tcW w:w="7649" w:type="dxa"/>
          </w:tcPr>
          <w:p w:rsidR="003E1D27" w:rsidRDefault="003E1D27" w:rsidP="006958C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1.15</w:t>
            </w:r>
          </w:p>
        </w:tc>
      </w:tr>
      <w:tr w:rsidR="003E1D27" w:rsidTr="003E1D27">
        <w:tc>
          <w:tcPr>
            <w:tcW w:w="1413" w:type="dxa"/>
          </w:tcPr>
          <w:p w:rsidR="003E1D27" w:rsidRDefault="003E1D27" w:rsidP="003E1D2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Margins</w:t>
            </w:r>
          </w:p>
        </w:tc>
        <w:tc>
          <w:tcPr>
            <w:tcW w:w="7649" w:type="dxa"/>
          </w:tcPr>
          <w:p w:rsidR="003E1D27" w:rsidRDefault="003E1D27" w:rsidP="006958C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 cm</w:t>
            </w:r>
          </w:p>
        </w:tc>
      </w:tr>
    </w:tbl>
    <w:p w:rsidR="003E1D27" w:rsidRDefault="003E1D27" w:rsidP="006958C8">
      <w:pPr>
        <w:rPr>
          <w:rFonts w:cs="Arial"/>
          <w:lang w:val="en-US"/>
        </w:rPr>
      </w:pPr>
    </w:p>
    <w:p w:rsidR="003E1D27" w:rsidRPr="003E1D27" w:rsidRDefault="003E1D27" w:rsidP="006958C8">
      <w:pPr>
        <w:rPr>
          <w:rFonts w:cs="Arial"/>
          <w:lang w:val="en-US"/>
        </w:rPr>
      </w:pPr>
    </w:p>
    <w:p w:rsidR="006958C8" w:rsidRPr="003E1D27" w:rsidRDefault="006958C8" w:rsidP="006958C8">
      <w:pPr>
        <w:rPr>
          <w:rFonts w:cs="Arial"/>
          <w:lang w:val="en-US"/>
        </w:rPr>
      </w:pPr>
    </w:p>
    <w:p w:rsidR="003E1D27" w:rsidRDefault="003E1D27">
      <w:pPr>
        <w:spacing w:after="200"/>
        <w:rPr>
          <w:rFonts w:cs="Arial"/>
          <w:b/>
          <w:sz w:val="22"/>
          <w:lang w:val="en-GB"/>
        </w:rPr>
      </w:pPr>
      <w:r>
        <w:rPr>
          <w:rFonts w:cs="Arial"/>
          <w:b/>
          <w:sz w:val="22"/>
          <w:lang w:val="en-GB"/>
        </w:rPr>
        <w:br w:type="page"/>
      </w:r>
    </w:p>
    <w:p w:rsidR="006958C8" w:rsidRPr="0091104D" w:rsidRDefault="006958C8" w:rsidP="006958C8">
      <w:pPr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1 | Contact details, background information of the host institution and proposed partner site category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proofErr w:type="gramStart"/>
      <w:r w:rsidRPr="0091104D">
        <w:rPr>
          <w:rFonts w:cs="Arial"/>
          <w:highlight w:val="yellow"/>
          <w:lang w:val="en-GB"/>
        </w:rPr>
        <w:t>max</w:t>
      </w:r>
      <w:proofErr w:type="gramEnd"/>
      <w:r w:rsidRPr="0091104D">
        <w:rPr>
          <w:rFonts w:cs="Arial"/>
          <w:highlight w:val="yellow"/>
          <w:lang w:val="en-GB"/>
        </w:rPr>
        <w:t xml:space="preserve"> 1 page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Please provide contact details (names, addresses, email, </w:t>
      </w:r>
      <w:proofErr w:type="gramStart"/>
      <w:r w:rsidRPr="0091104D">
        <w:rPr>
          <w:rFonts w:cs="Arial"/>
          <w:lang w:val="en-GB"/>
        </w:rPr>
        <w:t>phone</w:t>
      </w:r>
      <w:proofErr w:type="gramEnd"/>
      <w:r w:rsidRPr="0091104D">
        <w:rPr>
          <w:rFonts w:cs="Arial"/>
          <w:lang w:val="en-GB"/>
        </w:rPr>
        <w:t xml:space="preserve"> and website links) for the:</w:t>
      </w:r>
    </w:p>
    <w:p w:rsidR="006958C8" w:rsidRPr="0091104D" w:rsidRDefault="006958C8" w:rsidP="00391D1D">
      <w:pPr>
        <w:pStyle w:val="Listenabsatz"/>
        <w:numPr>
          <w:ilvl w:val="0"/>
          <w:numId w:val="30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Legal representative of the host institution in which the proposed partner site would be embedded</w:t>
      </w:r>
    </w:p>
    <w:p w:rsidR="006958C8" w:rsidRPr="0091104D" w:rsidRDefault="006958C8" w:rsidP="006E1B58">
      <w:pPr>
        <w:pStyle w:val="Listenabsatz"/>
        <w:numPr>
          <w:ilvl w:val="0"/>
          <w:numId w:val="30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Main applicant representing the partner site (normally the principle investigator leading the efforts at the partner site)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Please provide background information on the host institution (legal entity) including:</w:t>
      </w:r>
    </w:p>
    <w:p w:rsidR="006958C8" w:rsidRPr="0091104D" w:rsidRDefault="006958C8" w:rsidP="007740E5">
      <w:pPr>
        <w:pStyle w:val="Listenabsatz"/>
        <w:numPr>
          <w:ilvl w:val="0"/>
          <w:numId w:val="31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Date of founding; number of staff; and main research activities</w:t>
      </w:r>
    </w:p>
    <w:p w:rsidR="006958C8" w:rsidRPr="0091104D" w:rsidRDefault="006958C8" w:rsidP="00F63F12">
      <w:pPr>
        <w:pStyle w:val="Listenabsatz"/>
        <w:numPr>
          <w:ilvl w:val="0"/>
          <w:numId w:val="31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Position of the proposed partner site within the host institution (e.g. department or core facility within a university, working group within an applied research institute, platform group within a company etc.)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Please indicate the intended category of proposed partner site (see Technical and Scientific Description for details):</w:t>
      </w:r>
    </w:p>
    <w:p w:rsidR="00854656" w:rsidRPr="0091104D" w:rsidRDefault="006958C8" w:rsidP="006958C8">
      <w:pPr>
        <w:pStyle w:val="Listenabsatz"/>
        <w:numPr>
          <w:ilvl w:val="0"/>
          <w:numId w:val="32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Chemoproteomics site (this is </w:t>
      </w:r>
      <w:r w:rsidR="0091104D" w:rsidRPr="0091104D">
        <w:rPr>
          <w:rFonts w:cs="Arial"/>
          <w:lang w:val="en-GB"/>
        </w:rPr>
        <w:t>t</w:t>
      </w:r>
      <w:r w:rsidRPr="0091104D">
        <w:rPr>
          <w:rFonts w:cs="Arial"/>
          <w:lang w:val="en-GB"/>
        </w:rPr>
        <w:t>he only valid category)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>
      <w:pPr>
        <w:spacing w:after="200"/>
        <w:rPr>
          <w:rFonts w:cs="Arial"/>
          <w:lang w:val="en-GB"/>
        </w:rPr>
      </w:pPr>
      <w:r w:rsidRPr="0091104D">
        <w:rPr>
          <w:rFonts w:cs="Arial"/>
          <w:lang w:val="en-GB"/>
        </w:rPr>
        <w:br w:type="page"/>
      </w:r>
    </w:p>
    <w:p w:rsidR="006958C8" w:rsidRPr="0091104D" w:rsidRDefault="006958C8" w:rsidP="006958C8">
      <w:pPr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2 | Scientific excellence of the proposed partner site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proofErr w:type="gramStart"/>
      <w:r w:rsidRPr="0091104D">
        <w:rPr>
          <w:rFonts w:cs="Arial"/>
          <w:highlight w:val="yellow"/>
          <w:lang w:val="en-GB"/>
        </w:rPr>
        <w:t>max</w:t>
      </w:r>
      <w:proofErr w:type="gramEnd"/>
      <w:r w:rsidRPr="0091104D">
        <w:rPr>
          <w:rFonts w:cs="Arial"/>
          <w:highlight w:val="yellow"/>
          <w:lang w:val="en-GB"/>
        </w:rPr>
        <w:t xml:space="preserve"> 1 page, excluding CVs and publications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91104D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The following information </w:t>
      </w:r>
      <w:proofErr w:type="gramStart"/>
      <w:r w:rsidRPr="0091104D">
        <w:rPr>
          <w:rFonts w:cs="Arial"/>
          <w:lang w:val="en-GB"/>
        </w:rPr>
        <w:t>should be provided</w:t>
      </w:r>
      <w:proofErr w:type="gramEnd"/>
      <w:r w:rsidRPr="0091104D">
        <w:rPr>
          <w:rFonts w:cs="Arial"/>
          <w:lang w:val="en-GB"/>
        </w:rPr>
        <w:t>:</w:t>
      </w:r>
    </w:p>
    <w:p w:rsidR="0091104D" w:rsidRPr="0091104D" w:rsidRDefault="006958C8" w:rsidP="000165F9">
      <w:pPr>
        <w:pStyle w:val="Listenabsatz"/>
        <w:numPr>
          <w:ilvl w:val="0"/>
          <w:numId w:val="32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A description of the scientific profile and accomplishments of the proposed partner site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including number of staff; relevant scientific or technological expertise; key research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highlights and accomplishments. Please indicate how the research profile aligns with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the intended category of partner site.</w:t>
      </w:r>
    </w:p>
    <w:p w:rsidR="0091104D" w:rsidRPr="0091104D" w:rsidRDefault="006958C8" w:rsidP="00E61EE6">
      <w:pPr>
        <w:pStyle w:val="Listenabsatz"/>
        <w:numPr>
          <w:ilvl w:val="0"/>
          <w:numId w:val="32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The curriculum vitae of the main applicant and up to three additional personnel from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 xml:space="preserve">the prospective partner site (up to </w:t>
      </w:r>
      <w:proofErr w:type="gramStart"/>
      <w:r w:rsidRPr="0091104D">
        <w:rPr>
          <w:rFonts w:cs="Arial"/>
          <w:lang w:val="en-GB"/>
        </w:rPr>
        <w:t>2</w:t>
      </w:r>
      <w:proofErr w:type="gramEnd"/>
      <w:r w:rsidRPr="0091104D">
        <w:rPr>
          <w:rFonts w:cs="Arial"/>
          <w:lang w:val="en-GB"/>
        </w:rPr>
        <w:t xml:space="preserve"> pages per person).</w:t>
      </w:r>
    </w:p>
    <w:p w:rsidR="006958C8" w:rsidRPr="0091104D" w:rsidRDefault="006958C8" w:rsidP="00DA2E0F">
      <w:pPr>
        <w:pStyle w:val="Listenabsatz"/>
        <w:numPr>
          <w:ilvl w:val="0"/>
          <w:numId w:val="32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A list of any additional publications, products, services (including widely used datasets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or software), or other achievements of the partner site. Links to any online services (e.g.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software tools) can also be included (no limit).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>
      <w:pPr>
        <w:spacing w:after="200"/>
        <w:rPr>
          <w:rFonts w:cs="Arial"/>
          <w:lang w:val="en-GB"/>
        </w:rPr>
      </w:pPr>
      <w:r w:rsidRPr="0091104D">
        <w:rPr>
          <w:rFonts w:cs="Arial"/>
          <w:lang w:val="en-GB"/>
        </w:rPr>
        <w:br w:type="page"/>
      </w:r>
    </w:p>
    <w:p w:rsidR="006958C8" w:rsidRPr="0091104D" w:rsidRDefault="006958C8" w:rsidP="006958C8">
      <w:pPr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3 | Technical capabilities of the partner site and associated facilities at the host institution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proofErr w:type="gramStart"/>
      <w:r w:rsidRPr="0091104D">
        <w:rPr>
          <w:rFonts w:cs="Arial"/>
          <w:highlight w:val="yellow"/>
          <w:lang w:val="en-GB"/>
        </w:rPr>
        <w:t>up</w:t>
      </w:r>
      <w:proofErr w:type="gramEnd"/>
      <w:r w:rsidRPr="0091104D">
        <w:rPr>
          <w:rFonts w:cs="Arial"/>
          <w:highlight w:val="yellow"/>
          <w:lang w:val="en-GB"/>
        </w:rPr>
        <w:t xml:space="preserve"> to 2 pages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91104D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The applicant partner site will be approved as a “chemoproteomics partner site”, if it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 xml:space="preserve">demonstrates </w:t>
      </w:r>
      <w:proofErr w:type="gramStart"/>
      <w:r w:rsidRPr="0091104D">
        <w:rPr>
          <w:rFonts w:cs="Arial"/>
          <w:lang w:val="en-GB"/>
        </w:rPr>
        <w:t>that</w:t>
      </w:r>
      <w:proofErr w:type="gramEnd"/>
      <w:r w:rsidRPr="0091104D">
        <w:rPr>
          <w:rFonts w:cs="Arial"/>
          <w:lang w:val="en-GB"/>
        </w:rPr>
        <w:t xml:space="preserve"> it has the instrumentation and expertise needed, and meets relevant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criteria, for at least one of the above-mentioned areas. Depending on the area, in which a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 xml:space="preserve">site </w:t>
      </w:r>
      <w:proofErr w:type="gramStart"/>
      <w:r w:rsidRPr="0091104D">
        <w:rPr>
          <w:rFonts w:cs="Arial"/>
          <w:lang w:val="en-GB"/>
        </w:rPr>
        <w:t>has been evaluated</w:t>
      </w:r>
      <w:proofErr w:type="gramEnd"/>
      <w:r w:rsidRPr="0091104D">
        <w:rPr>
          <w:rFonts w:cs="Arial"/>
          <w:lang w:val="en-GB"/>
        </w:rPr>
        <w:t>, it will receive also additional 1 to 4 labels specifying which type of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chemoproteomics expertise it provides, including:</w:t>
      </w:r>
    </w:p>
    <w:p w:rsidR="0091104D" w:rsidRPr="0091104D" w:rsidRDefault="006958C8" w:rsidP="00A164F0">
      <w:pPr>
        <w:pStyle w:val="Listenabsatz"/>
        <w:numPr>
          <w:ilvl w:val="0"/>
          <w:numId w:val="33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Chemoproteomics partner site - Mass Spectrometry (MS)</w:t>
      </w:r>
    </w:p>
    <w:p w:rsidR="0091104D" w:rsidRPr="0091104D" w:rsidRDefault="006958C8" w:rsidP="00F80310">
      <w:pPr>
        <w:pStyle w:val="Listenabsatz"/>
        <w:numPr>
          <w:ilvl w:val="0"/>
          <w:numId w:val="33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Chemoproteomics partner site - Biochemical assays</w:t>
      </w:r>
    </w:p>
    <w:p w:rsidR="0091104D" w:rsidRPr="0091104D" w:rsidRDefault="006958C8" w:rsidP="00972AE4">
      <w:pPr>
        <w:pStyle w:val="Listenabsatz"/>
        <w:numPr>
          <w:ilvl w:val="0"/>
          <w:numId w:val="33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Chemoproteomics partner site - Probe synthesis</w:t>
      </w:r>
    </w:p>
    <w:p w:rsidR="006958C8" w:rsidRPr="0091104D" w:rsidRDefault="006958C8" w:rsidP="00972AE4">
      <w:pPr>
        <w:pStyle w:val="Listenabsatz"/>
        <w:numPr>
          <w:ilvl w:val="0"/>
          <w:numId w:val="33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Chemoproteomics partner site - Mass Spectrometry Imaging (MSI)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91104D" w:rsidRPr="0091104D" w:rsidRDefault="0091104D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P</w:t>
      </w:r>
      <w:r w:rsidR="006958C8" w:rsidRPr="0091104D">
        <w:rPr>
          <w:rFonts w:cs="Arial"/>
          <w:lang w:val="en-GB"/>
        </w:rPr>
        <w:t>lease list major equipment available within the proposed partner site, e.g.:</w:t>
      </w:r>
    </w:p>
    <w:p w:rsidR="0091104D" w:rsidRPr="0091104D" w:rsidRDefault="006958C8" w:rsidP="00452C15">
      <w:pPr>
        <w:pStyle w:val="Listenabsatz"/>
        <w:numPr>
          <w:ilvl w:val="0"/>
          <w:numId w:val="34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Mass spectrometry (MS) expertise and instrumentation for proteomic studies and data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analysis, in particular:</w:t>
      </w:r>
    </w:p>
    <w:p w:rsidR="0091104D" w:rsidRPr="0091104D" w:rsidRDefault="006958C8" w:rsidP="00E20692">
      <w:pPr>
        <w:pStyle w:val="Listenabsatz"/>
        <w:numPr>
          <w:ilvl w:val="1"/>
          <w:numId w:val="34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experimental design for chemoproteomics or compound disposition studies;</w:t>
      </w:r>
    </w:p>
    <w:p w:rsidR="0091104D" w:rsidRPr="0091104D" w:rsidRDefault="006958C8" w:rsidP="00652FDF">
      <w:pPr>
        <w:pStyle w:val="Listenabsatz"/>
        <w:numPr>
          <w:ilvl w:val="1"/>
          <w:numId w:val="34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sample preparation for chemoproteomics or compound disposition studies;</w:t>
      </w:r>
    </w:p>
    <w:p w:rsidR="0091104D" w:rsidRPr="0091104D" w:rsidRDefault="006958C8" w:rsidP="005F2BB5">
      <w:pPr>
        <w:pStyle w:val="Listenabsatz"/>
        <w:numPr>
          <w:ilvl w:val="1"/>
          <w:numId w:val="34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LC-MS/MS (Liquid Chromatography-MS/MS) and other standard proteomics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methods, including global approaches as well as targeted, quantitative methods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for the analysis of proteins and their post-translational modifications by using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label-free and label-based quantification strategies;</w:t>
      </w:r>
    </w:p>
    <w:p w:rsidR="0091104D" w:rsidRPr="0091104D" w:rsidRDefault="006958C8" w:rsidP="000A1E20">
      <w:pPr>
        <w:pStyle w:val="Listenabsatz"/>
        <w:numPr>
          <w:ilvl w:val="0"/>
          <w:numId w:val="34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Other advanced target identification methods, such as those based on cellular thermal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shift assays (CETSA) and isothermal dose response (ITDR) experiments;</w:t>
      </w:r>
    </w:p>
    <w:p w:rsidR="0091104D" w:rsidRPr="0091104D" w:rsidRDefault="006958C8" w:rsidP="004620B1">
      <w:pPr>
        <w:pStyle w:val="Listenabsatz"/>
        <w:numPr>
          <w:ilvl w:val="0"/>
          <w:numId w:val="34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Design, synthesis and purification of chemical probes with linkers allowing for the pull-down of the target(s) or similar target identification approaches (the partner site should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have experience in linker chemistry and ligand-linker synthesis);</w:t>
      </w:r>
    </w:p>
    <w:p w:rsidR="0091104D" w:rsidRPr="0091104D" w:rsidRDefault="006958C8" w:rsidP="0070307C">
      <w:pPr>
        <w:pStyle w:val="Listenabsatz"/>
        <w:numPr>
          <w:ilvl w:val="0"/>
          <w:numId w:val="34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Advanced mass spectrometry imaging (MSI) instrumentation for the quantification of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compound disposition in tissues and cell models, together with analysis workflows for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quantification and interpretation of MSI readouts</w:t>
      </w:r>
    </w:p>
    <w:p w:rsidR="0091104D" w:rsidRPr="0091104D" w:rsidRDefault="0091104D" w:rsidP="0091104D">
      <w:pPr>
        <w:rPr>
          <w:rFonts w:cs="Arial"/>
          <w:lang w:val="en-GB"/>
        </w:rPr>
      </w:pPr>
    </w:p>
    <w:p w:rsidR="0091104D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Please list associated support / core facilities within the host or affiliated institutions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which could also be utilised by the partner site for EU-OPENSCREEN ERIC projects, e.g.:</w:t>
      </w:r>
    </w:p>
    <w:p w:rsidR="0091104D" w:rsidRPr="0091104D" w:rsidRDefault="006958C8" w:rsidP="005A6DA9">
      <w:pPr>
        <w:pStyle w:val="Listenabsatz"/>
        <w:numPr>
          <w:ilvl w:val="0"/>
          <w:numId w:val="35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Core facilities for cell line generation, QC etc.</w:t>
      </w:r>
    </w:p>
    <w:p w:rsidR="0091104D" w:rsidRPr="0091104D" w:rsidRDefault="006958C8" w:rsidP="00E91890">
      <w:pPr>
        <w:pStyle w:val="Listenabsatz"/>
        <w:numPr>
          <w:ilvl w:val="0"/>
          <w:numId w:val="35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Core facilities for protein expression and purification</w:t>
      </w:r>
    </w:p>
    <w:p w:rsidR="0091104D" w:rsidRPr="0091104D" w:rsidRDefault="006958C8" w:rsidP="00E6482A">
      <w:pPr>
        <w:pStyle w:val="Listenabsatz"/>
        <w:numPr>
          <w:ilvl w:val="0"/>
          <w:numId w:val="35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Core groups providing </w:t>
      </w:r>
      <w:r w:rsidR="006C75B4" w:rsidRPr="0091104D">
        <w:rPr>
          <w:rFonts w:cs="Arial"/>
          <w:lang w:val="en-GB"/>
        </w:rPr>
        <w:t>large-scale</w:t>
      </w:r>
      <w:r w:rsidRPr="0091104D">
        <w:rPr>
          <w:rFonts w:cs="Arial"/>
          <w:lang w:val="en-GB"/>
        </w:rPr>
        <w:t xml:space="preserve"> sequencing, proteomics services etc.</w:t>
      </w:r>
    </w:p>
    <w:p w:rsidR="0091104D" w:rsidRPr="0091104D" w:rsidRDefault="006958C8" w:rsidP="00CF4057">
      <w:pPr>
        <w:pStyle w:val="Listenabsatz"/>
        <w:numPr>
          <w:ilvl w:val="0"/>
          <w:numId w:val="35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Centralised chemistry analytics (e.g. NMR)</w:t>
      </w:r>
    </w:p>
    <w:p w:rsidR="006958C8" w:rsidRPr="0091104D" w:rsidRDefault="006958C8" w:rsidP="00CF4057">
      <w:pPr>
        <w:pStyle w:val="Listenabsatz"/>
        <w:numPr>
          <w:ilvl w:val="0"/>
          <w:numId w:val="35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Collections of chemical intermediates, -building blocks and –scaffolds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91104D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Please list </w:t>
      </w:r>
      <w:proofErr w:type="spellStart"/>
      <w:r w:rsidRPr="0091104D">
        <w:rPr>
          <w:rFonts w:cs="Arial"/>
          <w:lang w:val="en-GB"/>
        </w:rPr>
        <w:t>chem</w:t>
      </w:r>
      <w:proofErr w:type="spellEnd"/>
      <w:r w:rsidRPr="0091104D">
        <w:rPr>
          <w:rFonts w:cs="Arial"/>
          <w:lang w:val="en-GB"/>
        </w:rPr>
        <w:t xml:space="preserve">- / bioinformatics resources and briefly outline how these </w:t>
      </w:r>
      <w:proofErr w:type="gramStart"/>
      <w:r w:rsidRPr="0091104D">
        <w:rPr>
          <w:rFonts w:cs="Arial"/>
          <w:lang w:val="en-GB"/>
        </w:rPr>
        <w:t>are used</w:t>
      </w:r>
      <w:proofErr w:type="gramEnd"/>
      <w:r w:rsidRPr="0091104D">
        <w:rPr>
          <w:rFonts w:cs="Arial"/>
          <w:lang w:val="en-GB"/>
        </w:rPr>
        <w:t xml:space="preserve"> in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data handling processes within the proposed partner site, e.g.:</w:t>
      </w:r>
    </w:p>
    <w:p w:rsidR="0091104D" w:rsidRPr="0091104D" w:rsidRDefault="006958C8" w:rsidP="007E7F43">
      <w:pPr>
        <w:pStyle w:val="Listenabsatz"/>
        <w:numPr>
          <w:ilvl w:val="0"/>
          <w:numId w:val="36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Informatics data analysis tools (in-house and / or commercial)</w:t>
      </w:r>
    </w:p>
    <w:p w:rsidR="0091104D" w:rsidRPr="0091104D" w:rsidRDefault="006958C8" w:rsidP="00FF5082">
      <w:pPr>
        <w:pStyle w:val="Listenabsatz"/>
        <w:numPr>
          <w:ilvl w:val="0"/>
          <w:numId w:val="36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Bioinformatics software tools / resources</w:t>
      </w:r>
    </w:p>
    <w:p w:rsidR="0091104D" w:rsidRPr="0091104D" w:rsidRDefault="006958C8" w:rsidP="00361F5B">
      <w:pPr>
        <w:pStyle w:val="Listenabsatz"/>
        <w:numPr>
          <w:ilvl w:val="0"/>
          <w:numId w:val="36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Cheminformatics software tools / resources</w:t>
      </w:r>
    </w:p>
    <w:p w:rsidR="0091104D" w:rsidRPr="0091104D" w:rsidRDefault="006958C8" w:rsidP="00610546">
      <w:pPr>
        <w:pStyle w:val="Listenabsatz"/>
        <w:numPr>
          <w:ilvl w:val="0"/>
          <w:numId w:val="36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In </w:t>
      </w:r>
      <w:proofErr w:type="spellStart"/>
      <w:r w:rsidRPr="0091104D">
        <w:rPr>
          <w:rFonts w:cs="Arial"/>
          <w:lang w:val="en-GB"/>
        </w:rPr>
        <w:t>silico</w:t>
      </w:r>
      <w:proofErr w:type="spellEnd"/>
      <w:r w:rsidRPr="0091104D">
        <w:rPr>
          <w:rFonts w:cs="Arial"/>
          <w:lang w:val="en-GB"/>
        </w:rPr>
        <w:t xml:space="preserve"> screening and rational drug discovery tools</w:t>
      </w:r>
    </w:p>
    <w:p w:rsidR="0091104D" w:rsidRPr="0091104D" w:rsidRDefault="006958C8" w:rsidP="003A1A6C">
      <w:pPr>
        <w:pStyle w:val="Listenabsatz"/>
        <w:numPr>
          <w:ilvl w:val="0"/>
          <w:numId w:val="36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Data processing and bioinformatics pipelines, including statistical analysis;</w:t>
      </w:r>
    </w:p>
    <w:p w:rsidR="0091104D" w:rsidRPr="0091104D" w:rsidRDefault="006958C8" w:rsidP="00821115">
      <w:pPr>
        <w:pStyle w:val="Listenabsatz"/>
        <w:numPr>
          <w:ilvl w:val="0"/>
          <w:numId w:val="36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Data interpretation and expertise on deposition of FAIR omics-results onto community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data repositories</w:t>
      </w:r>
      <w:r w:rsidR="0091104D" w:rsidRPr="0091104D">
        <w:rPr>
          <w:rFonts w:cs="Arial"/>
          <w:lang w:val="en-GB"/>
        </w:rPr>
        <w:t>;</w:t>
      </w:r>
    </w:p>
    <w:p w:rsidR="006958C8" w:rsidRPr="0091104D" w:rsidRDefault="006958C8" w:rsidP="00991497">
      <w:pPr>
        <w:pStyle w:val="Listenabsatz"/>
        <w:numPr>
          <w:ilvl w:val="0"/>
          <w:numId w:val="36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Associated core facilities or informatics </w:t>
      </w:r>
      <w:r w:rsidR="006C75B4" w:rsidRPr="0091104D">
        <w:rPr>
          <w:rFonts w:cs="Arial"/>
          <w:lang w:val="en-GB"/>
        </w:rPr>
        <w:t>infrastructures, which</w:t>
      </w:r>
      <w:r w:rsidRPr="0091104D">
        <w:rPr>
          <w:rFonts w:cs="Arial"/>
          <w:lang w:val="en-GB"/>
        </w:rPr>
        <w:t xml:space="preserve"> could be utilised for EU-OPENSCREEN ERIC projects (e.g. distributed- and / or super-computing facilities, access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to software development teams etc.)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>
      <w:pPr>
        <w:spacing w:after="200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br w:type="page"/>
      </w:r>
    </w:p>
    <w:p w:rsidR="006958C8" w:rsidRPr="0091104D" w:rsidRDefault="006958C8" w:rsidP="006958C8">
      <w:pPr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4 | Achievements and existing capacity to provide services, including track record in project execution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proofErr w:type="gramStart"/>
      <w:r w:rsidRPr="0091104D">
        <w:rPr>
          <w:rFonts w:cs="Arial"/>
          <w:highlight w:val="yellow"/>
          <w:lang w:val="en-GB"/>
        </w:rPr>
        <w:t>up</w:t>
      </w:r>
      <w:proofErr w:type="gramEnd"/>
      <w:r w:rsidRPr="0091104D">
        <w:rPr>
          <w:rFonts w:cs="Arial"/>
          <w:highlight w:val="yellow"/>
          <w:lang w:val="en-GB"/>
        </w:rPr>
        <w:t xml:space="preserve"> to 2 pages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91104D" w:rsidRPr="0091104D" w:rsidRDefault="0091104D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P</w:t>
      </w:r>
      <w:r w:rsidR="006958C8" w:rsidRPr="0091104D">
        <w:rPr>
          <w:rFonts w:cs="Arial"/>
          <w:lang w:val="en-GB"/>
        </w:rPr>
        <w:t>lease summarise projects supported by the proposed partner site in the last six years</w:t>
      </w:r>
      <w:r w:rsidRPr="0091104D">
        <w:rPr>
          <w:rFonts w:cs="Arial"/>
          <w:lang w:val="en-GB"/>
        </w:rPr>
        <w:t xml:space="preserve"> </w:t>
      </w:r>
      <w:r w:rsidR="006958C8" w:rsidRPr="0091104D">
        <w:rPr>
          <w:rFonts w:cs="Arial"/>
          <w:lang w:val="en-GB"/>
        </w:rPr>
        <w:t>(2017 - 2022):</w:t>
      </w:r>
    </w:p>
    <w:p w:rsidR="0091104D" w:rsidRPr="0091104D" w:rsidRDefault="0091104D" w:rsidP="00F95EA4">
      <w:pPr>
        <w:pStyle w:val="Listenabsatz"/>
        <w:numPr>
          <w:ilvl w:val="0"/>
          <w:numId w:val="37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G</w:t>
      </w:r>
      <w:r w:rsidR="006958C8" w:rsidRPr="0091104D">
        <w:rPr>
          <w:rFonts w:cs="Arial"/>
          <w:lang w:val="en-GB"/>
        </w:rPr>
        <w:t>ive total number of chemoproteomics and compound disposition projects performed</w:t>
      </w:r>
    </w:p>
    <w:p w:rsidR="006958C8" w:rsidRPr="0091104D" w:rsidRDefault="006958C8" w:rsidP="00F95EA4">
      <w:pPr>
        <w:pStyle w:val="Listenabsatz"/>
        <w:numPr>
          <w:ilvl w:val="0"/>
          <w:numId w:val="37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List technologies used</w:t>
      </w:r>
    </w:p>
    <w:p w:rsidR="0091104D" w:rsidRPr="0091104D" w:rsidRDefault="0091104D" w:rsidP="0091104D">
      <w:pPr>
        <w:rPr>
          <w:rFonts w:cs="Arial"/>
          <w:lang w:val="en-GB"/>
        </w:rPr>
      </w:pPr>
    </w:p>
    <w:p w:rsidR="0091104D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Describe, in brief, three representative projects from the last six years, which are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relevant to your intended partner site category. For each project</w:t>
      </w:r>
      <w:r w:rsidR="0091104D">
        <w:rPr>
          <w:rFonts w:cs="Arial"/>
          <w:lang w:val="en-GB"/>
        </w:rPr>
        <w:t>,</w:t>
      </w:r>
      <w:r w:rsidRPr="0091104D">
        <w:rPr>
          <w:rFonts w:cs="Arial"/>
          <w:lang w:val="en-GB"/>
        </w:rPr>
        <w:t xml:space="preserve"> please include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information on:</w:t>
      </w:r>
    </w:p>
    <w:p w:rsidR="0091104D" w:rsidRPr="0091104D" w:rsidRDefault="006958C8" w:rsidP="00C746D5">
      <w:pPr>
        <w:pStyle w:val="Listenabsatz"/>
        <w:numPr>
          <w:ilvl w:val="0"/>
          <w:numId w:val="38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Project scope</w:t>
      </w:r>
    </w:p>
    <w:p w:rsidR="0091104D" w:rsidRPr="0091104D" w:rsidRDefault="006958C8" w:rsidP="002A3C4D">
      <w:pPr>
        <w:pStyle w:val="Listenabsatz"/>
        <w:numPr>
          <w:ilvl w:val="0"/>
          <w:numId w:val="38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Scientific and technical features (e.g. target class or cellular pathway investigated,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disease indication, types of assays developed, technologies and techniques used, etc.)</w:t>
      </w:r>
    </w:p>
    <w:p w:rsidR="006958C8" w:rsidRPr="0091104D" w:rsidRDefault="006958C8" w:rsidP="005E32C1">
      <w:pPr>
        <w:pStyle w:val="Listenabsatz"/>
        <w:numPr>
          <w:ilvl w:val="0"/>
          <w:numId w:val="38"/>
        </w:numPr>
        <w:rPr>
          <w:rFonts w:cs="Arial"/>
          <w:lang w:val="en-GB"/>
        </w:rPr>
      </w:pPr>
      <w:r w:rsidRPr="0091104D">
        <w:rPr>
          <w:rFonts w:cs="Arial"/>
          <w:lang w:val="en-GB"/>
        </w:rPr>
        <w:t>Key outcomes (e.g. scientific peer-reviewed publications and patents granted, students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trained, targets identified or validated, tool compounds / leads declared, companies</w:t>
      </w:r>
      <w:r w:rsidR="0091104D" w:rsidRP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spun out, novel chemistry developed. software released etc.)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>
      <w:pPr>
        <w:spacing w:after="200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br w:type="page"/>
      </w:r>
    </w:p>
    <w:p w:rsidR="006958C8" w:rsidRPr="0091104D" w:rsidRDefault="006958C8" w:rsidP="006958C8">
      <w:pPr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5 | Future capacity for user projects and sustainability</w:t>
      </w:r>
    </w:p>
    <w:p w:rsidR="0091104D" w:rsidRDefault="0091104D" w:rsidP="006958C8">
      <w:pPr>
        <w:rPr>
          <w:rFonts w:cs="Arial"/>
          <w:lang w:val="en-GB"/>
        </w:rPr>
      </w:pPr>
    </w:p>
    <w:p w:rsidR="006958C8" w:rsidRDefault="006958C8" w:rsidP="006958C8">
      <w:pPr>
        <w:rPr>
          <w:rFonts w:cs="Arial"/>
          <w:lang w:val="en-GB"/>
        </w:rPr>
      </w:pPr>
      <w:proofErr w:type="gramStart"/>
      <w:r w:rsidRPr="00295EA7">
        <w:rPr>
          <w:rFonts w:cs="Arial"/>
          <w:highlight w:val="yellow"/>
          <w:lang w:val="en-GB"/>
        </w:rPr>
        <w:t>max</w:t>
      </w:r>
      <w:proofErr w:type="gramEnd"/>
      <w:r w:rsidRPr="00295EA7">
        <w:rPr>
          <w:rFonts w:cs="Arial"/>
          <w:highlight w:val="yellow"/>
          <w:lang w:val="en-GB"/>
        </w:rPr>
        <w:t xml:space="preserve"> 0.5 page</w:t>
      </w:r>
    </w:p>
    <w:p w:rsidR="0091104D" w:rsidRPr="0091104D" w:rsidRDefault="0091104D" w:rsidP="006958C8">
      <w:pPr>
        <w:rPr>
          <w:rFonts w:cs="Arial"/>
          <w:lang w:val="en-GB"/>
        </w:rPr>
      </w:pPr>
    </w:p>
    <w:p w:rsidR="006958C8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Capacity of proposed partner site to meet future needs of EU-OPENSCREEN ERIC users.</w:t>
      </w:r>
      <w:r w:rsid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 xml:space="preserve">For the following five years, please estimate the annual number of </w:t>
      </w:r>
      <w:r w:rsidR="006C75B4" w:rsidRPr="0091104D">
        <w:rPr>
          <w:rFonts w:cs="Arial"/>
          <w:lang w:val="en-GB"/>
        </w:rPr>
        <w:t>slots that</w:t>
      </w:r>
      <w:r w:rsidRPr="0091104D">
        <w:rPr>
          <w:rFonts w:cs="Arial"/>
          <w:lang w:val="en-GB"/>
        </w:rPr>
        <w:t xml:space="preserve"> will be</w:t>
      </w:r>
      <w:r w:rsidR="0091104D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available to EU-OPENSCREEN ERIC users for:</w:t>
      </w:r>
    </w:p>
    <w:p w:rsidR="006958C8" w:rsidRDefault="006958C8" w:rsidP="006958C8">
      <w:pPr>
        <w:pStyle w:val="Listenabsatz"/>
        <w:numPr>
          <w:ilvl w:val="0"/>
          <w:numId w:val="39"/>
        </w:numPr>
        <w:rPr>
          <w:rFonts w:cs="Arial"/>
          <w:lang w:val="en-GB"/>
        </w:rPr>
      </w:pPr>
      <w:r w:rsidRPr="00295EA7">
        <w:rPr>
          <w:rFonts w:cs="Arial"/>
          <w:lang w:val="en-GB"/>
        </w:rPr>
        <w:t>Chemoproteomics and compound disposition projects</w:t>
      </w:r>
    </w:p>
    <w:p w:rsidR="00295EA7" w:rsidRPr="00295EA7" w:rsidRDefault="00295EA7" w:rsidP="00295EA7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Outline the sustainability plan for the proposed partner site for the long term (&gt;five</w:t>
      </w:r>
      <w:r w:rsidR="00295EA7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years). Describe how the provisions within the sustainability plan would provide a secure</w:t>
      </w:r>
      <w:r w:rsidR="00295EA7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basis for continued membership of the EU-OPENSCREEN ERIC in the long term.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Pr="0091104D" w:rsidRDefault="006958C8">
      <w:pPr>
        <w:spacing w:after="200"/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br w:type="page"/>
      </w:r>
    </w:p>
    <w:p w:rsidR="006958C8" w:rsidRPr="0091104D" w:rsidRDefault="006958C8" w:rsidP="006958C8">
      <w:pPr>
        <w:rPr>
          <w:rFonts w:cs="Arial"/>
          <w:b/>
          <w:sz w:val="22"/>
          <w:lang w:val="en-GB"/>
        </w:rPr>
      </w:pPr>
      <w:r w:rsidRPr="0091104D">
        <w:rPr>
          <w:rFonts w:cs="Arial"/>
          <w:b/>
          <w:sz w:val="22"/>
          <w:lang w:val="en-GB"/>
        </w:rPr>
        <w:lastRenderedPageBreak/>
        <w:t>Section 6 | Added value for the EU-OPENSCREEN ERIC and alignment with the EU-OPENSCREEN ERIC policies</w:t>
      </w:r>
    </w:p>
    <w:p w:rsidR="006958C8" w:rsidRPr="0091104D" w:rsidRDefault="006958C8" w:rsidP="006958C8">
      <w:pPr>
        <w:rPr>
          <w:rFonts w:cs="Arial"/>
          <w:lang w:val="en-GB"/>
        </w:rPr>
      </w:pPr>
    </w:p>
    <w:p w:rsidR="006958C8" w:rsidRDefault="006958C8" w:rsidP="006958C8">
      <w:pPr>
        <w:rPr>
          <w:rFonts w:cs="Arial"/>
          <w:lang w:val="en-GB"/>
        </w:rPr>
      </w:pPr>
      <w:proofErr w:type="gramStart"/>
      <w:r w:rsidRPr="00295EA7">
        <w:rPr>
          <w:rFonts w:cs="Arial"/>
          <w:highlight w:val="yellow"/>
          <w:lang w:val="en-GB"/>
        </w:rPr>
        <w:t>max</w:t>
      </w:r>
      <w:proofErr w:type="gramEnd"/>
      <w:r w:rsidRPr="00295EA7">
        <w:rPr>
          <w:rFonts w:cs="Arial"/>
          <w:highlight w:val="yellow"/>
          <w:lang w:val="en-GB"/>
        </w:rPr>
        <w:t xml:space="preserve"> 0.5 page</w:t>
      </w:r>
    </w:p>
    <w:p w:rsidR="00295EA7" w:rsidRPr="0091104D" w:rsidRDefault="00295EA7" w:rsidP="006958C8">
      <w:pPr>
        <w:rPr>
          <w:rFonts w:cs="Arial"/>
          <w:lang w:val="en-GB"/>
        </w:rPr>
      </w:pPr>
    </w:p>
    <w:p w:rsidR="00295EA7" w:rsidRDefault="006958C8" w:rsidP="006958C8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 xml:space="preserve">Prospective partner sites should briefly describe how their participation in the EU-OPENSCREEN ERIC </w:t>
      </w:r>
      <w:r w:rsidR="006C75B4" w:rsidRPr="0091104D">
        <w:rPr>
          <w:rFonts w:cs="Arial"/>
          <w:lang w:val="en-GB"/>
        </w:rPr>
        <w:t>would</w:t>
      </w:r>
      <w:r w:rsidRPr="0091104D">
        <w:rPr>
          <w:rFonts w:cs="Arial"/>
          <w:lang w:val="en-GB"/>
        </w:rPr>
        <w:t xml:space="preserve"> provide </w:t>
      </w:r>
      <w:proofErr w:type="gramStart"/>
      <w:r w:rsidRPr="0091104D">
        <w:rPr>
          <w:rFonts w:cs="Arial"/>
          <w:lang w:val="en-GB"/>
        </w:rPr>
        <w:t>added value</w:t>
      </w:r>
      <w:proofErr w:type="gramEnd"/>
      <w:r w:rsidRPr="0091104D">
        <w:rPr>
          <w:rFonts w:cs="Arial"/>
          <w:lang w:val="en-GB"/>
        </w:rPr>
        <w:t xml:space="preserve"> to the users and the network. Specific</w:t>
      </w:r>
      <w:r w:rsidR="00295EA7">
        <w:rPr>
          <w:rFonts w:cs="Arial"/>
          <w:lang w:val="en-GB"/>
        </w:rPr>
        <w:t xml:space="preserve"> </w:t>
      </w:r>
      <w:r w:rsidRPr="0091104D">
        <w:rPr>
          <w:rFonts w:cs="Arial"/>
          <w:lang w:val="en-GB"/>
        </w:rPr>
        <w:t>examples may involve:</w:t>
      </w:r>
    </w:p>
    <w:p w:rsidR="00295EA7" w:rsidRDefault="006958C8" w:rsidP="0033325D">
      <w:pPr>
        <w:pStyle w:val="Listenabsatz"/>
        <w:numPr>
          <w:ilvl w:val="0"/>
          <w:numId w:val="39"/>
        </w:numPr>
        <w:rPr>
          <w:rFonts w:cs="Arial"/>
          <w:lang w:val="en-GB"/>
        </w:rPr>
      </w:pPr>
      <w:r w:rsidRPr="00295EA7">
        <w:rPr>
          <w:rFonts w:cs="Arial"/>
          <w:lang w:val="en-GB"/>
        </w:rPr>
        <w:t>Providing complementary or unique technologies and expertise</w:t>
      </w:r>
    </w:p>
    <w:p w:rsidR="00295EA7" w:rsidRDefault="006958C8" w:rsidP="00CA1E47">
      <w:pPr>
        <w:pStyle w:val="Listenabsatz"/>
        <w:numPr>
          <w:ilvl w:val="0"/>
          <w:numId w:val="39"/>
        </w:numPr>
        <w:rPr>
          <w:rFonts w:cs="Arial"/>
          <w:lang w:val="en-GB"/>
        </w:rPr>
      </w:pPr>
      <w:r w:rsidRPr="00295EA7">
        <w:rPr>
          <w:rFonts w:cs="Arial"/>
          <w:lang w:val="en-GB"/>
        </w:rPr>
        <w:t>Introducing appropriate QC processes and standardisation in methodology which helps</w:t>
      </w:r>
      <w:r w:rsidR="00295EA7" w:rsidRPr="00295EA7">
        <w:rPr>
          <w:rFonts w:cs="Arial"/>
          <w:lang w:val="en-GB"/>
        </w:rPr>
        <w:t xml:space="preserve"> </w:t>
      </w:r>
      <w:r w:rsidRPr="00295EA7">
        <w:rPr>
          <w:rFonts w:cs="Arial"/>
          <w:lang w:val="en-GB"/>
        </w:rPr>
        <w:t>improve data reproducibility in early stage research</w:t>
      </w:r>
    </w:p>
    <w:p w:rsidR="003E1D27" w:rsidRDefault="006958C8" w:rsidP="00666991">
      <w:pPr>
        <w:pStyle w:val="Listenabsatz"/>
        <w:numPr>
          <w:ilvl w:val="0"/>
          <w:numId w:val="39"/>
        </w:numPr>
        <w:rPr>
          <w:rFonts w:cs="Arial"/>
          <w:lang w:val="en-GB"/>
        </w:rPr>
      </w:pPr>
      <w:r w:rsidRPr="00295EA7">
        <w:rPr>
          <w:rFonts w:cs="Arial"/>
          <w:lang w:val="en-GB"/>
        </w:rPr>
        <w:t>Providing broad access to advanced assay protocols, high quality reagents, novel</w:t>
      </w:r>
      <w:r w:rsidR="00295EA7">
        <w:rPr>
          <w:rFonts w:cs="Arial"/>
          <w:lang w:val="en-GB"/>
        </w:rPr>
        <w:t xml:space="preserve"> </w:t>
      </w:r>
      <w:r w:rsidRPr="00295EA7">
        <w:rPr>
          <w:rFonts w:cs="Arial"/>
          <w:lang w:val="en-GB"/>
        </w:rPr>
        <w:t>software tools etc.</w:t>
      </w:r>
    </w:p>
    <w:p w:rsidR="003E1D27" w:rsidRDefault="003E1D27">
      <w:pPr>
        <w:spacing w:after="200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:rsidR="006958C8" w:rsidRPr="003E1D27" w:rsidRDefault="003E1D27" w:rsidP="003E1D27">
      <w:pPr>
        <w:rPr>
          <w:rFonts w:cs="Arial"/>
          <w:b/>
          <w:sz w:val="22"/>
          <w:lang w:val="en-GB"/>
        </w:rPr>
      </w:pPr>
      <w:r w:rsidRPr="003E1D27">
        <w:rPr>
          <w:rFonts w:cs="Arial"/>
          <w:b/>
          <w:sz w:val="22"/>
          <w:lang w:val="en-GB"/>
        </w:rPr>
        <w:lastRenderedPageBreak/>
        <w:t>Appendix</w:t>
      </w:r>
    </w:p>
    <w:p w:rsidR="003E1D27" w:rsidRDefault="003E1D27" w:rsidP="003E1D27">
      <w:pPr>
        <w:rPr>
          <w:rFonts w:cs="Arial"/>
          <w:lang w:val="en-GB"/>
        </w:rPr>
      </w:pPr>
    </w:p>
    <w:p w:rsidR="003E1D27" w:rsidRDefault="003E1D27" w:rsidP="003E1D27">
      <w:pPr>
        <w:rPr>
          <w:rFonts w:cs="Arial"/>
          <w:lang w:val="en-GB"/>
        </w:rPr>
      </w:pPr>
      <w:r>
        <w:rPr>
          <w:rFonts w:cs="Arial"/>
          <w:lang w:val="en-GB"/>
        </w:rPr>
        <w:t>CV of the principle investigator (</w:t>
      </w:r>
      <w:r w:rsidRPr="003E1D27">
        <w:rPr>
          <w:rFonts w:cs="Arial"/>
          <w:highlight w:val="yellow"/>
          <w:lang w:val="en-GB"/>
        </w:rPr>
        <w:t xml:space="preserve">up to </w:t>
      </w:r>
      <w:proofErr w:type="gramStart"/>
      <w:r w:rsidRPr="003E1D27">
        <w:rPr>
          <w:rFonts w:cs="Arial"/>
          <w:highlight w:val="yellow"/>
          <w:lang w:val="en-GB"/>
        </w:rPr>
        <w:t>2</w:t>
      </w:r>
      <w:proofErr w:type="gramEnd"/>
      <w:r w:rsidRPr="003E1D27">
        <w:rPr>
          <w:rFonts w:cs="Arial"/>
          <w:highlight w:val="yellow"/>
          <w:lang w:val="en-GB"/>
        </w:rPr>
        <w:t xml:space="preserve"> pages</w:t>
      </w:r>
      <w:r>
        <w:rPr>
          <w:rFonts w:cs="Arial"/>
          <w:lang w:val="en-GB"/>
        </w:rPr>
        <w:t>)</w:t>
      </w:r>
    </w:p>
    <w:p w:rsidR="003E1D27" w:rsidRDefault="003E1D27" w:rsidP="003E1D27">
      <w:pPr>
        <w:rPr>
          <w:rFonts w:cs="Arial"/>
          <w:lang w:val="en-GB"/>
        </w:rPr>
      </w:pPr>
    </w:p>
    <w:p w:rsidR="003E1D27" w:rsidRDefault="003E1D27" w:rsidP="003E1D27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CV of </w:t>
      </w:r>
      <w:r w:rsidRPr="0091104D">
        <w:rPr>
          <w:rFonts w:cs="Arial"/>
          <w:lang w:val="en-GB"/>
        </w:rPr>
        <w:t>up to three additional personnel</w:t>
      </w:r>
      <w:r>
        <w:rPr>
          <w:rFonts w:cs="Arial"/>
          <w:lang w:val="en-GB"/>
        </w:rPr>
        <w:t xml:space="preserve"> (</w:t>
      </w:r>
      <w:r w:rsidRPr="003E1D27">
        <w:rPr>
          <w:rFonts w:cs="Arial"/>
          <w:highlight w:val="yellow"/>
          <w:lang w:val="en-GB"/>
        </w:rPr>
        <w:t xml:space="preserve">up to </w:t>
      </w:r>
      <w:proofErr w:type="gramStart"/>
      <w:r w:rsidRPr="003E1D27">
        <w:rPr>
          <w:rFonts w:cs="Arial"/>
          <w:highlight w:val="yellow"/>
          <w:lang w:val="en-GB"/>
        </w:rPr>
        <w:t>2</w:t>
      </w:r>
      <w:proofErr w:type="gramEnd"/>
      <w:r w:rsidRPr="003E1D27">
        <w:rPr>
          <w:rFonts w:cs="Arial"/>
          <w:highlight w:val="yellow"/>
          <w:lang w:val="en-GB"/>
        </w:rPr>
        <w:t xml:space="preserve"> pages each</w:t>
      </w:r>
      <w:r>
        <w:rPr>
          <w:rFonts w:cs="Arial"/>
          <w:lang w:val="en-GB"/>
        </w:rPr>
        <w:t>)</w:t>
      </w:r>
    </w:p>
    <w:p w:rsidR="003E1D27" w:rsidRDefault="003E1D27" w:rsidP="003E1D27">
      <w:pPr>
        <w:rPr>
          <w:rFonts w:cs="Arial"/>
          <w:lang w:val="en-GB"/>
        </w:rPr>
      </w:pPr>
    </w:p>
    <w:p w:rsidR="003E1D27" w:rsidRPr="003E1D27" w:rsidRDefault="003E1D27" w:rsidP="003E1D27">
      <w:pPr>
        <w:rPr>
          <w:rFonts w:cs="Arial"/>
          <w:lang w:val="en-GB"/>
        </w:rPr>
      </w:pPr>
      <w:r w:rsidRPr="0091104D">
        <w:rPr>
          <w:rFonts w:cs="Arial"/>
          <w:lang w:val="en-GB"/>
        </w:rPr>
        <w:t>A list of any additional publications, products, ser</w:t>
      </w:r>
      <w:bookmarkStart w:id="0" w:name="_GoBack"/>
      <w:bookmarkEnd w:id="0"/>
      <w:r w:rsidRPr="0091104D">
        <w:rPr>
          <w:rFonts w:cs="Arial"/>
          <w:lang w:val="en-GB"/>
        </w:rPr>
        <w:t>vices</w:t>
      </w:r>
      <w:r>
        <w:rPr>
          <w:rFonts w:cs="Arial"/>
          <w:lang w:val="en-GB"/>
        </w:rPr>
        <w:t xml:space="preserve"> (</w:t>
      </w:r>
      <w:r w:rsidRPr="003E1D27">
        <w:rPr>
          <w:rFonts w:cs="Arial"/>
          <w:highlight w:val="yellow"/>
          <w:lang w:val="en-GB"/>
        </w:rPr>
        <w:t>no limit</w:t>
      </w:r>
      <w:r>
        <w:rPr>
          <w:rFonts w:cs="Arial"/>
          <w:lang w:val="en-GB"/>
        </w:rPr>
        <w:t>)</w:t>
      </w:r>
    </w:p>
    <w:sectPr w:rsidR="003E1D27" w:rsidRPr="003E1D27" w:rsidSect="003E1D2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C8" w:rsidRDefault="006958C8" w:rsidP="00D50C60">
      <w:r>
        <w:separator/>
      </w:r>
    </w:p>
  </w:endnote>
  <w:endnote w:type="continuationSeparator" w:id="0">
    <w:p w:rsidR="006958C8" w:rsidRDefault="006958C8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362483"/>
      <w:docPartObj>
        <w:docPartGallery w:val="Page Numbers (Bottom of Page)"/>
        <w:docPartUnique/>
      </w:docPartObj>
    </w:sdtPr>
    <w:sdtEndPr/>
    <w:sdtContent>
      <w:p w:rsidR="0091104D" w:rsidRDefault="009110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D27">
          <w:rPr>
            <w:noProof/>
          </w:rPr>
          <w:t>3</w:t>
        </w:r>
        <w:r>
          <w:fldChar w:fldCharType="end"/>
        </w:r>
      </w:p>
    </w:sdtContent>
  </w:sdt>
  <w:p w:rsidR="001C13DA" w:rsidRDefault="001C13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C8" w:rsidRDefault="006958C8" w:rsidP="00D50C60">
      <w:r>
        <w:separator/>
      </w:r>
    </w:p>
  </w:footnote>
  <w:footnote w:type="continuationSeparator" w:id="0">
    <w:p w:rsidR="006958C8" w:rsidRDefault="006958C8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13DC6"/>
    <w:multiLevelType w:val="hybridMultilevel"/>
    <w:tmpl w:val="9DAEA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A167F"/>
    <w:multiLevelType w:val="hybridMultilevel"/>
    <w:tmpl w:val="1910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B5AB0"/>
    <w:multiLevelType w:val="hybridMultilevel"/>
    <w:tmpl w:val="B83C6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F53FA"/>
    <w:multiLevelType w:val="hybridMultilevel"/>
    <w:tmpl w:val="C6D2E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32934"/>
    <w:multiLevelType w:val="hybridMultilevel"/>
    <w:tmpl w:val="C06ED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B0C79"/>
    <w:multiLevelType w:val="hybridMultilevel"/>
    <w:tmpl w:val="5FE44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752B"/>
    <w:multiLevelType w:val="hybridMultilevel"/>
    <w:tmpl w:val="9ED6ED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0" w15:restartNumberingAfterBreak="0">
    <w:nsid w:val="5CAA3252"/>
    <w:multiLevelType w:val="hybridMultilevel"/>
    <w:tmpl w:val="41AE1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4880"/>
    <w:multiLevelType w:val="hybridMultilevel"/>
    <w:tmpl w:val="57724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656BC"/>
    <w:multiLevelType w:val="hybridMultilevel"/>
    <w:tmpl w:val="88D01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4"/>
  </w:num>
  <w:num w:numId="6">
    <w:abstractNumId w:val="24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8"/>
  </w:num>
  <w:num w:numId="13">
    <w:abstractNumId w:val="18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22"/>
  </w:num>
  <w:num w:numId="32">
    <w:abstractNumId w:val="11"/>
  </w:num>
  <w:num w:numId="33">
    <w:abstractNumId w:val="17"/>
  </w:num>
  <w:num w:numId="34">
    <w:abstractNumId w:val="13"/>
  </w:num>
  <w:num w:numId="35">
    <w:abstractNumId w:val="21"/>
  </w:num>
  <w:num w:numId="36">
    <w:abstractNumId w:val="12"/>
  </w:num>
  <w:num w:numId="37">
    <w:abstractNumId w:val="15"/>
  </w:num>
  <w:num w:numId="38">
    <w:abstractNumId w:val="2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C8"/>
    <w:rsid w:val="00012260"/>
    <w:rsid w:val="00033BBF"/>
    <w:rsid w:val="0004432D"/>
    <w:rsid w:val="00054780"/>
    <w:rsid w:val="00065F93"/>
    <w:rsid w:val="0007013E"/>
    <w:rsid w:val="00091C82"/>
    <w:rsid w:val="000C60E1"/>
    <w:rsid w:val="000C73D0"/>
    <w:rsid w:val="000E194F"/>
    <w:rsid w:val="00124C96"/>
    <w:rsid w:val="00127624"/>
    <w:rsid w:val="0015639D"/>
    <w:rsid w:val="0015776A"/>
    <w:rsid w:val="001623F4"/>
    <w:rsid w:val="001A50E6"/>
    <w:rsid w:val="001A5B0A"/>
    <w:rsid w:val="001C13DA"/>
    <w:rsid w:val="001D0C1B"/>
    <w:rsid w:val="001D4449"/>
    <w:rsid w:val="00201DB0"/>
    <w:rsid w:val="0021183C"/>
    <w:rsid w:val="00295EA7"/>
    <w:rsid w:val="002C3BF4"/>
    <w:rsid w:val="002C6731"/>
    <w:rsid w:val="002E2ECE"/>
    <w:rsid w:val="002E5B06"/>
    <w:rsid w:val="00301C83"/>
    <w:rsid w:val="00323743"/>
    <w:rsid w:val="00332090"/>
    <w:rsid w:val="00382BBC"/>
    <w:rsid w:val="003A66B1"/>
    <w:rsid w:val="003B0144"/>
    <w:rsid w:val="003B715A"/>
    <w:rsid w:val="003E1D27"/>
    <w:rsid w:val="003E46BF"/>
    <w:rsid w:val="0042553C"/>
    <w:rsid w:val="004257FC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958C8"/>
    <w:rsid w:val="006A4D06"/>
    <w:rsid w:val="006C75B4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D297A"/>
    <w:rsid w:val="008E1FBF"/>
    <w:rsid w:val="008F09C9"/>
    <w:rsid w:val="008F5F67"/>
    <w:rsid w:val="00902113"/>
    <w:rsid w:val="0091104D"/>
    <w:rsid w:val="00912B07"/>
    <w:rsid w:val="00913079"/>
    <w:rsid w:val="009218AD"/>
    <w:rsid w:val="009510DB"/>
    <w:rsid w:val="009803C2"/>
    <w:rsid w:val="009A44BA"/>
    <w:rsid w:val="009C7EDE"/>
    <w:rsid w:val="00A0058C"/>
    <w:rsid w:val="00A00995"/>
    <w:rsid w:val="00A13711"/>
    <w:rsid w:val="00A43558"/>
    <w:rsid w:val="00AB16B2"/>
    <w:rsid w:val="00AC4BCB"/>
    <w:rsid w:val="00AC6DDF"/>
    <w:rsid w:val="00B2528A"/>
    <w:rsid w:val="00B52E90"/>
    <w:rsid w:val="00B61B17"/>
    <w:rsid w:val="00B81D14"/>
    <w:rsid w:val="00BA1AB7"/>
    <w:rsid w:val="00BB16E4"/>
    <w:rsid w:val="00BD4261"/>
    <w:rsid w:val="00BD5439"/>
    <w:rsid w:val="00BE0EDC"/>
    <w:rsid w:val="00C0774B"/>
    <w:rsid w:val="00C14800"/>
    <w:rsid w:val="00C42AE3"/>
    <w:rsid w:val="00C43624"/>
    <w:rsid w:val="00C4441D"/>
    <w:rsid w:val="00C52825"/>
    <w:rsid w:val="00CB36B5"/>
    <w:rsid w:val="00CB623F"/>
    <w:rsid w:val="00CC2E74"/>
    <w:rsid w:val="00CD04F3"/>
    <w:rsid w:val="00D1602B"/>
    <w:rsid w:val="00D3383F"/>
    <w:rsid w:val="00D50C60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7363"/>
    <w:rsid w:val="00F548CE"/>
    <w:rsid w:val="00F90E52"/>
    <w:rsid w:val="00F97CEE"/>
    <w:rsid w:val="00FB00CF"/>
    <w:rsid w:val="00FB186A"/>
    <w:rsid w:val="00FB49F5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6ED8A"/>
  <w15:chartTrackingRefBased/>
  <w15:docId w15:val="{3BEB7E13-37E0-4129-8310-87CD3F2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6958C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1104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91104D"/>
    <w:rPr>
      <w:rFonts w:eastAsiaTheme="minorEastAsia" w:cs="Times New Roman"/>
      <w:lang w:eastAsia="de-DE"/>
    </w:rPr>
  </w:style>
  <w:style w:type="table" w:styleId="Tabellenraster">
    <w:name w:val="Table Grid"/>
    <w:basedOn w:val="NormaleTabelle"/>
    <w:uiPriority w:val="59"/>
    <w:rsid w:val="003E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1064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Puschmann, Robert</dc:creator>
  <cp:keywords/>
  <dc:description/>
  <cp:lastModifiedBy>Puschmann, Robert</cp:lastModifiedBy>
  <cp:revision>4</cp:revision>
  <dcterms:created xsi:type="dcterms:W3CDTF">2024-03-04T16:47:00Z</dcterms:created>
  <dcterms:modified xsi:type="dcterms:W3CDTF">2024-03-06T15:48:00Z</dcterms:modified>
</cp:coreProperties>
</file>